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786" w:rsidRPr="004F5F2B" w:rsidRDefault="00EF40E4" w:rsidP="00592786">
      <w:pPr>
        <w:jc w:val="center"/>
        <w:rPr>
          <w:b/>
          <w:bCs/>
        </w:rPr>
      </w:pPr>
      <w:r w:rsidRPr="004F5F2B">
        <w:rPr>
          <w:b/>
          <w:noProof/>
          <w:lang w:val="bg-BG" w:eastAsia="bg-BG"/>
        </w:rPr>
        <w:drawing>
          <wp:inline distT="0" distB="0" distL="0" distR="0">
            <wp:extent cx="2693035" cy="1557655"/>
            <wp:effectExtent l="0" t="0" r="0" b="0"/>
            <wp:docPr id="1" name="Image 6" descr="V:\URBACT II\E) Administration Coordination\Suivi juridique\Documents officiels\charte graphique\URBACT_logotype\URBACT logotype\URBACT LOGOTYPE_with quote European programme\URBACT_quote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V:\URBACT II\E) Administration Coordination\Suivi juridique\Documents officiels\charte graphique\URBACT_logotype\URBACT logotype\URBACT LOGOTYPE_with quote European programme\URBACT_quote_rgb.gif"/>
                    <pic:cNvPicPr>
                      <a:picLocks noChangeAspect="1" noChangeArrowheads="1"/>
                    </pic:cNvPicPr>
                  </pic:nvPicPr>
                  <pic:blipFill>
                    <a:blip r:embed="rId9" cstate="print"/>
                    <a:srcRect/>
                    <a:stretch>
                      <a:fillRect/>
                    </a:stretch>
                  </pic:blipFill>
                  <pic:spPr bwMode="auto">
                    <a:xfrm>
                      <a:off x="0" y="0"/>
                      <a:ext cx="2693035" cy="1557655"/>
                    </a:xfrm>
                    <a:prstGeom prst="rect">
                      <a:avLst/>
                    </a:prstGeom>
                    <a:noFill/>
                    <a:ln w="9525">
                      <a:noFill/>
                      <a:miter lim="800000"/>
                      <a:headEnd/>
                      <a:tailEnd/>
                    </a:ln>
                  </pic:spPr>
                </pic:pic>
              </a:graphicData>
            </a:graphic>
          </wp:inline>
        </w:drawing>
      </w:r>
    </w:p>
    <w:p w:rsidR="00592786" w:rsidRPr="004F5F2B" w:rsidRDefault="00592786" w:rsidP="00592786">
      <w:pPr>
        <w:jc w:val="center"/>
        <w:rPr>
          <w:b/>
          <w:bCs/>
          <w:i/>
          <w:iCs/>
          <w:sz w:val="22"/>
          <w:szCs w:val="22"/>
        </w:rPr>
      </w:pPr>
    </w:p>
    <w:p w:rsidR="00592786" w:rsidRPr="004F5F2B" w:rsidRDefault="00592786" w:rsidP="00592786">
      <w:pPr>
        <w:jc w:val="center"/>
        <w:rPr>
          <w:b/>
          <w:bCs/>
          <w:i/>
          <w:iCs/>
          <w:sz w:val="22"/>
          <w:szCs w:val="22"/>
        </w:rPr>
      </w:pPr>
    </w:p>
    <w:p w:rsidR="00592786" w:rsidRPr="004F5F2B" w:rsidRDefault="00592786" w:rsidP="00592786">
      <w:pPr>
        <w:jc w:val="center"/>
        <w:rPr>
          <w:b/>
          <w:bCs/>
          <w:i/>
          <w:iCs/>
          <w:sz w:val="22"/>
          <w:szCs w:val="22"/>
        </w:rPr>
      </w:pPr>
    </w:p>
    <w:p w:rsidR="00592786" w:rsidRPr="004F5F2B" w:rsidRDefault="00592786" w:rsidP="00592786">
      <w:pPr>
        <w:pStyle w:val="Standard-IfS"/>
        <w:tabs>
          <w:tab w:val="clear" w:pos="227"/>
          <w:tab w:val="clear" w:pos="357"/>
          <w:tab w:val="clear" w:pos="454"/>
          <w:tab w:val="clear" w:pos="709"/>
          <w:tab w:val="clear" w:pos="851"/>
          <w:tab w:val="clear" w:pos="992"/>
        </w:tabs>
        <w:spacing w:after="240"/>
        <w:jc w:val="center"/>
        <w:rPr>
          <w:rFonts w:ascii="Verdana" w:hAnsi="Verdana" w:cs="Times New Roman"/>
          <w:kern w:val="2"/>
          <w:sz w:val="32"/>
          <w:szCs w:val="32"/>
          <w:lang w:val="en-GB"/>
        </w:rPr>
      </w:pPr>
      <w:r w:rsidRPr="004F5F2B">
        <w:rPr>
          <w:rFonts w:ascii="Verdana" w:hAnsi="Verdana" w:cs="Times New Roman"/>
          <w:kern w:val="2"/>
          <w:sz w:val="32"/>
          <w:szCs w:val="32"/>
          <w:lang w:val="en-GB"/>
        </w:rPr>
        <w:t>European Regional Development Fund 2014 - 2020</w:t>
      </w:r>
    </w:p>
    <w:p w:rsidR="00592786" w:rsidRPr="004F5F2B" w:rsidRDefault="00592786" w:rsidP="00592786">
      <w:pPr>
        <w:jc w:val="center"/>
        <w:rPr>
          <w:b/>
          <w:bCs/>
          <w:i/>
          <w:iCs/>
          <w:sz w:val="22"/>
          <w:szCs w:val="22"/>
        </w:rPr>
      </w:pPr>
    </w:p>
    <w:p w:rsidR="00592786" w:rsidRPr="004F5F2B" w:rsidRDefault="00592786" w:rsidP="00592786">
      <w:pPr>
        <w:jc w:val="center"/>
        <w:rPr>
          <w:rFonts w:ascii="Verdana" w:hAnsi="Verdana"/>
          <w:sz w:val="40"/>
          <w:szCs w:val="40"/>
        </w:rPr>
      </w:pPr>
      <w:r w:rsidRPr="004F5F2B">
        <w:rPr>
          <w:rFonts w:ascii="Verdana" w:hAnsi="Verdana"/>
          <w:sz w:val="40"/>
          <w:szCs w:val="40"/>
        </w:rPr>
        <w:t>European Territorial Cooperation</w:t>
      </w:r>
    </w:p>
    <w:p w:rsidR="00592786" w:rsidRPr="004F5F2B" w:rsidRDefault="00592786" w:rsidP="00592786">
      <w:pPr>
        <w:jc w:val="center"/>
        <w:rPr>
          <w:b/>
          <w:bCs/>
          <w:i/>
          <w:iCs/>
          <w:sz w:val="22"/>
          <w:szCs w:val="22"/>
        </w:rPr>
      </w:pPr>
    </w:p>
    <w:p w:rsidR="00592786" w:rsidRPr="004F5F2B" w:rsidRDefault="00592786" w:rsidP="00592786">
      <w:pPr>
        <w:jc w:val="center"/>
        <w:rPr>
          <w:b/>
          <w:bCs/>
          <w:sz w:val="22"/>
          <w:szCs w:val="22"/>
        </w:rPr>
      </w:pPr>
    </w:p>
    <w:p w:rsidR="00592786" w:rsidRPr="004F5F2B" w:rsidRDefault="00592786" w:rsidP="00592786">
      <w:pPr>
        <w:jc w:val="center"/>
        <w:rPr>
          <w:b/>
          <w:bCs/>
          <w:sz w:val="22"/>
          <w:szCs w:val="22"/>
        </w:rPr>
      </w:pPr>
    </w:p>
    <w:p w:rsidR="00592786" w:rsidRPr="004F5F2B" w:rsidRDefault="00592786" w:rsidP="00592786">
      <w:pPr>
        <w:pStyle w:val="31"/>
        <w:ind w:left="0"/>
        <w:rPr>
          <w:rFonts w:ascii="Verdana" w:hAnsi="Verdana"/>
          <w:sz w:val="40"/>
          <w:szCs w:val="40"/>
        </w:rPr>
      </w:pPr>
      <w:r w:rsidRPr="004F5F2B">
        <w:rPr>
          <w:rFonts w:ascii="Verdana" w:hAnsi="Verdana"/>
          <w:sz w:val="40"/>
          <w:szCs w:val="40"/>
        </w:rPr>
        <w:t>URBACT III</w:t>
      </w:r>
    </w:p>
    <w:p w:rsidR="00592786" w:rsidRPr="004F5F2B" w:rsidRDefault="00592786" w:rsidP="00592786">
      <w:pPr>
        <w:jc w:val="center"/>
        <w:rPr>
          <w:rFonts w:ascii="Verdana" w:hAnsi="Verdana"/>
          <w:b/>
          <w:bCs/>
          <w:sz w:val="40"/>
          <w:szCs w:val="40"/>
        </w:rPr>
      </w:pPr>
      <w:r w:rsidRPr="004F5F2B">
        <w:rPr>
          <w:rFonts w:ascii="Verdana" w:hAnsi="Verdana"/>
          <w:b/>
          <w:bCs/>
          <w:sz w:val="40"/>
          <w:szCs w:val="40"/>
        </w:rPr>
        <w:t>DRAFT OPERATIONAL PROGRAMME</w:t>
      </w:r>
    </w:p>
    <w:p w:rsidR="00FA1AE7" w:rsidRPr="004F5F2B" w:rsidRDefault="00592786" w:rsidP="00592786">
      <w:pPr>
        <w:jc w:val="center"/>
        <w:rPr>
          <w:rFonts w:ascii="Verdana" w:hAnsi="Verdana"/>
          <w:b/>
          <w:bCs/>
          <w:sz w:val="40"/>
          <w:szCs w:val="40"/>
        </w:rPr>
      </w:pPr>
      <w:r w:rsidRPr="004F5F2B">
        <w:rPr>
          <w:rFonts w:ascii="Verdana" w:hAnsi="Verdana"/>
          <w:b/>
          <w:bCs/>
          <w:sz w:val="40"/>
          <w:szCs w:val="40"/>
        </w:rPr>
        <w:t xml:space="preserve">Version </w:t>
      </w:r>
      <w:r w:rsidR="00E63C1B">
        <w:rPr>
          <w:rFonts w:ascii="Verdana" w:hAnsi="Verdana"/>
          <w:b/>
          <w:bCs/>
          <w:sz w:val="40"/>
          <w:szCs w:val="40"/>
        </w:rPr>
        <w:t>3</w:t>
      </w:r>
    </w:p>
    <w:p w:rsidR="00592786" w:rsidRPr="004F5F2B" w:rsidRDefault="00592786" w:rsidP="00592786">
      <w:pPr>
        <w:jc w:val="center"/>
        <w:rPr>
          <w:b/>
          <w:bCs/>
          <w:sz w:val="44"/>
          <w:szCs w:val="44"/>
        </w:rPr>
      </w:pPr>
    </w:p>
    <w:p w:rsidR="00592786" w:rsidRDefault="00592786" w:rsidP="00592786">
      <w:pPr>
        <w:jc w:val="center"/>
        <w:rPr>
          <w:b/>
          <w:bCs/>
          <w:sz w:val="44"/>
          <w:szCs w:val="44"/>
        </w:rPr>
      </w:pPr>
    </w:p>
    <w:p w:rsidR="00E63C1B" w:rsidRPr="004F5F2B" w:rsidRDefault="00E63C1B" w:rsidP="00592786">
      <w:pPr>
        <w:jc w:val="center"/>
        <w:rPr>
          <w:b/>
          <w:bCs/>
          <w:sz w:val="44"/>
          <w:szCs w:val="44"/>
        </w:rPr>
      </w:pPr>
      <w:r>
        <w:rPr>
          <w:b/>
          <w:bCs/>
          <w:sz w:val="44"/>
          <w:szCs w:val="44"/>
        </w:rPr>
        <w:t>Submitted to MS/PS on 07/04/2014</w:t>
      </w:r>
    </w:p>
    <w:p w:rsidR="00592786" w:rsidRPr="004F5F2B" w:rsidRDefault="00592786" w:rsidP="00592786">
      <w:pPr>
        <w:jc w:val="center"/>
        <w:rPr>
          <w:b/>
          <w:bCs/>
          <w:sz w:val="44"/>
          <w:szCs w:val="44"/>
        </w:rPr>
      </w:pPr>
    </w:p>
    <w:p w:rsidR="00592786" w:rsidRPr="004F5F2B" w:rsidRDefault="00592786" w:rsidP="00592786">
      <w:pPr>
        <w:jc w:val="center"/>
        <w:rPr>
          <w:b/>
          <w:bCs/>
          <w:sz w:val="44"/>
          <w:szCs w:val="44"/>
        </w:rPr>
      </w:pPr>
    </w:p>
    <w:p w:rsidR="00592786" w:rsidRPr="004F5F2B" w:rsidRDefault="00592786" w:rsidP="00592786">
      <w:pPr>
        <w:jc w:val="center"/>
        <w:rPr>
          <w:b/>
          <w:bCs/>
          <w:sz w:val="44"/>
          <w:szCs w:val="44"/>
        </w:rPr>
      </w:pPr>
    </w:p>
    <w:p w:rsidR="00592786" w:rsidRPr="004F5F2B" w:rsidRDefault="00592786" w:rsidP="00592786">
      <w:pPr>
        <w:jc w:val="center"/>
        <w:rPr>
          <w:b/>
          <w:bCs/>
          <w:sz w:val="44"/>
          <w:szCs w:val="44"/>
        </w:rPr>
      </w:pPr>
    </w:p>
    <w:p w:rsidR="00592786" w:rsidRPr="004F5F2B" w:rsidRDefault="00592786" w:rsidP="00592786">
      <w:pPr>
        <w:jc w:val="center"/>
        <w:rPr>
          <w:b/>
          <w:bCs/>
          <w:sz w:val="28"/>
          <w:szCs w:val="28"/>
        </w:rPr>
      </w:pPr>
    </w:p>
    <w:p w:rsidR="00592786" w:rsidRPr="004F5F2B" w:rsidRDefault="00EF40E4" w:rsidP="00592786">
      <w:pPr>
        <w:ind w:left="3540"/>
      </w:pPr>
      <w:r w:rsidRPr="004F5F2B">
        <w:rPr>
          <w:noProof/>
          <w:lang w:val="bg-BG" w:eastAsia="bg-BG"/>
        </w:rPr>
        <w:drawing>
          <wp:inline distT="0" distB="0" distL="0" distR="0">
            <wp:extent cx="1577340" cy="1085215"/>
            <wp:effectExtent l="19050" t="0" r="3810" b="0"/>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0" cstate="print"/>
                    <a:srcRect/>
                    <a:stretch>
                      <a:fillRect/>
                    </a:stretch>
                  </pic:blipFill>
                  <pic:spPr bwMode="auto">
                    <a:xfrm>
                      <a:off x="0" y="0"/>
                      <a:ext cx="1577340" cy="1085215"/>
                    </a:xfrm>
                    <a:prstGeom prst="rect">
                      <a:avLst/>
                    </a:prstGeom>
                    <a:noFill/>
                    <a:ln w="9525">
                      <a:noFill/>
                      <a:miter lim="800000"/>
                      <a:headEnd/>
                      <a:tailEnd/>
                    </a:ln>
                  </pic:spPr>
                </pic:pic>
              </a:graphicData>
            </a:graphic>
          </wp:inline>
        </w:drawing>
      </w:r>
    </w:p>
    <w:p w:rsidR="00592786" w:rsidRPr="004F5F2B" w:rsidRDefault="00592786" w:rsidP="00592786">
      <w:pPr>
        <w:ind w:left="3540"/>
      </w:pPr>
    </w:p>
    <w:p w:rsidR="00592786" w:rsidRPr="004F5F2B" w:rsidRDefault="00592786" w:rsidP="00592786">
      <w:pPr>
        <w:autoSpaceDE w:val="0"/>
        <w:autoSpaceDN w:val="0"/>
        <w:adjustRightInd w:val="0"/>
        <w:ind w:left="3540"/>
        <w:rPr>
          <w:rFonts w:ascii="MyriadPro-Bold" w:eastAsia="Calibri" w:hAnsi="MyriadPro-Bold" w:cs="MyriadPro-Bold"/>
          <w:b/>
          <w:bCs/>
          <w:sz w:val="32"/>
          <w:szCs w:val="32"/>
          <w:lang w:eastAsia="en-US"/>
        </w:rPr>
      </w:pPr>
      <w:r w:rsidRPr="004F5F2B">
        <w:rPr>
          <w:rFonts w:ascii="MyriadPro-Bold" w:eastAsia="Calibri" w:hAnsi="MyriadPro-Bold" w:cs="MyriadPro-Bold"/>
          <w:b/>
          <w:bCs/>
          <w:sz w:val="32"/>
          <w:szCs w:val="32"/>
          <w:lang w:eastAsia="en-US"/>
        </w:rPr>
        <w:t>European Union</w:t>
      </w:r>
    </w:p>
    <w:p w:rsidR="00592786" w:rsidRPr="004F5F2B" w:rsidRDefault="00592786" w:rsidP="00592786">
      <w:pPr>
        <w:ind w:left="3540"/>
        <w:rPr>
          <w:sz w:val="20"/>
          <w:szCs w:val="20"/>
        </w:rPr>
      </w:pPr>
      <w:r w:rsidRPr="004F5F2B">
        <w:rPr>
          <w:rFonts w:ascii="MyriadPro-Regular" w:eastAsia="Calibri" w:hAnsi="MyriadPro-Regular" w:cs="MyriadPro-Regular"/>
          <w:sz w:val="20"/>
          <w:szCs w:val="20"/>
          <w:lang w:eastAsia="en-US"/>
        </w:rPr>
        <w:t>European Regional Development Fund</w:t>
      </w:r>
    </w:p>
    <w:p w:rsidR="00E63C1B" w:rsidRDefault="00E63C1B">
      <w:pPr>
        <w:rPr>
          <w:rFonts w:ascii="Verdana" w:hAnsi="Verdana"/>
          <w:b/>
          <w:bCs/>
          <w:smallCaps/>
          <w:sz w:val="36"/>
          <w:szCs w:val="36"/>
        </w:rPr>
      </w:pPr>
      <w:r>
        <w:rPr>
          <w:rFonts w:ascii="Verdana" w:hAnsi="Verdana"/>
          <w:b/>
          <w:bCs/>
          <w:smallCaps/>
          <w:sz w:val="36"/>
          <w:szCs w:val="36"/>
        </w:rPr>
        <w:br w:type="page"/>
      </w:r>
    </w:p>
    <w:p w:rsidR="00AC759C" w:rsidRPr="004F5F2B" w:rsidRDefault="00AC759C" w:rsidP="00AC759C">
      <w:pPr>
        <w:pBdr>
          <w:bottom w:val="single" w:sz="4" w:space="1" w:color="auto"/>
        </w:pBdr>
        <w:rPr>
          <w:rFonts w:ascii="Verdana" w:hAnsi="Verdana"/>
          <w:b/>
          <w:bCs/>
          <w:smallCaps/>
          <w:sz w:val="36"/>
          <w:szCs w:val="36"/>
        </w:rPr>
      </w:pPr>
      <w:r w:rsidRPr="004F5F2B">
        <w:rPr>
          <w:rFonts w:ascii="Verdana" w:hAnsi="Verdana"/>
          <w:b/>
          <w:bCs/>
          <w:smallCaps/>
          <w:sz w:val="36"/>
          <w:szCs w:val="36"/>
        </w:rPr>
        <w:t>Summary of Contents</w:t>
      </w:r>
    </w:p>
    <w:p w:rsidR="00A532C7" w:rsidRPr="004F5F2B" w:rsidRDefault="00A532C7">
      <w:pPr>
        <w:pStyle w:val="En-ttedetabledesmatires1"/>
        <w:rPr>
          <w:lang w:val="en-GB"/>
        </w:rPr>
      </w:pPr>
    </w:p>
    <w:p w:rsidR="00EA4B30" w:rsidRPr="00EA4B30" w:rsidRDefault="00060EF2" w:rsidP="00040577">
      <w:pPr>
        <w:pStyle w:val="11"/>
        <w:rPr>
          <w:rFonts w:asciiTheme="minorHAnsi" w:eastAsiaTheme="minorEastAsia" w:hAnsiTheme="minorHAnsi" w:cstheme="minorBidi"/>
          <w:lang w:val="fr-FR"/>
        </w:rPr>
      </w:pPr>
      <w:r w:rsidRPr="004F5F2B">
        <w:rPr>
          <w:noProof w:val="0"/>
        </w:rPr>
        <w:fldChar w:fldCharType="begin"/>
      </w:r>
      <w:r w:rsidR="00A532C7" w:rsidRPr="004F5F2B">
        <w:rPr>
          <w:noProof w:val="0"/>
        </w:rPr>
        <w:instrText xml:space="preserve"> </w:instrText>
      </w:r>
      <w:r w:rsidR="00E465D9" w:rsidRPr="004F5F2B">
        <w:rPr>
          <w:noProof w:val="0"/>
        </w:rPr>
        <w:instrText>TOC</w:instrText>
      </w:r>
      <w:r w:rsidR="00A532C7" w:rsidRPr="004F5F2B">
        <w:rPr>
          <w:noProof w:val="0"/>
        </w:rPr>
        <w:instrText xml:space="preserve"> \o "1-3" \h \z \u </w:instrText>
      </w:r>
      <w:r w:rsidRPr="004F5F2B">
        <w:rPr>
          <w:noProof w:val="0"/>
        </w:rPr>
        <w:fldChar w:fldCharType="separate"/>
      </w:r>
      <w:hyperlink w:anchor="_Toc384648430" w:history="1">
        <w:r w:rsidR="00EA4B30" w:rsidRPr="00EA4B30">
          <w:rPr>
            <w:rStyle w:val="af5"/>
            <w:sz w:val="22"/>
            <w:szCs w:val="22"/>
          </w:rPr>
          <w:t>Section 1 – Strategy for the contribution OF URBACT III to Europe 2020 and the achievement of economic, social and territorial cohesion</w:t>
        </w:r>
        <w:r w:rsidR="00BD20A7">
          <w:rPr>
            <w:rStyle w:val="af5"/>
            <w:sz w:val="22"/>
            <w:szCs w:val="22"/>
          </w:rPr>
          <w:t xml:space="preserve"> </w:t>
        </w:r>
        <w:r w:rsidR="00EA4B30" w:rsidRPr="00EA4B30">
          <w:rPr>
            <w:webHidden/>
          </w:rPr>
          <w:tab/>
        </w:r>
        <w:r w:rsidRPr="00B304B9">
          <w:rPr>
            <w:webHidden/>
            <w:sz w:val="22"/>
            <w:szCs w:val="22"/>
          </w:rPr>
          <w:fldChar w:fldCharType="begin"/>
        </w:r>
        <w:r w:rsidR="00EA4B30" w:rsidRPr="00B304B9">
          <w:rPr>
            <w:webHidden/>
            <w:sz w:val="22"/>
            <w:szCs w:val="22"/>
          </w:rPr>
          <w:instrText xml:space="preserve"> PAGEREF _Toc384648430 \h </w:instrText>
        </w:r>
        <w:r w:rsidRPr="00B304B9">
          <w:rPr>
            <w:webHidden/>
            <w:sz w:val="22"/>
            <w:szCs w:val="22"/>
          </w:rPr>
        </w:r>
        <w:r w:rsidRPr="00B304B9">
          <w:rPr>
            <w:webHidden/>
            <w:sz w:val="22"/>
            <w:szCs w:val="22"/>
          </w:rPr>
          <w:fldChar w:fldCharType="separate"/>
        </w:r>
        <w:r w:rsidR="00100D56">
          <w:rPr>
            <w:webHidden/>
            <w:sz w:val="22"/>
            <w:szCs w:val="22"/>
          </w:rPr>
          <w:t>5</w:t>
        </w:r>
        <w:r w:rsidRPr="00B304B9">
          <w:rPr>
            <w:webHidden/>
            <w:sz w:val="22"/>
            <w:szCs w:val="22"/>
          </w:rPr>
          <w:fldChar w:fldCharType="end"/>
        </w:r>
      </w:hyperlink>
    </w:p>
    <w:p w:rsidR="00EA4B30" w:rsidRPr="00637F92" w:rsidRDefault="00FA25C5" w:rsidP="00BD09C5">
      <w:pPr>
        <w:pStyle w:val="21"/>
        <w:spacing w:after="60"/>
        <w:rPr>
          <w:rFonts w:asciiTheme="minorHAnsi" w:eastAsiaTheme="minorEastAsia" w:hAnsiTheme="minorHAnsi" w:cstheme="minorBidi"/>
          <w:b/>
          <w:noProof/>
          <w:lang w:val="fr-FR" w:eastAsia="fr-FR"/>
        </w:rPr>
      </w:pPr>
      <w:hyperlink w:anchor="_Toc384648431" w:history="1">
        <w:r w:rsidR="00EA4B30" w:rsidRPr="00637F92">
          <w:rPr>
            <w:rStyle w:val="af5"/>
            <w:b/>
            <w:noProof/>
            <w:sz w:val="22"/>
            <w:szCs w:val="22"/>
          </w:rPr>
          <w:t xml:space="preserve">1.1 </w:t>
        </w:r>
        <w:r w:rsidR="00EA4B30" w:rsidRPr="00637F92">
          <w:rPr>
            <w:rFonts w:asciiTheme="minorHAnsi" w:eastAsiaTheme="minorEastAsia" w:hAnsiTheme="minorHAnsi" w:cstheme="minorBidi"/>
            <w:b/>
            <w:noProof/>
            <w:lang w:val="fr-FR" w:eastAsia="fr-FR"/>
          </w:rPr>
          <w:tab/>
        </w:r>
        <w:r w:rsidR="00EA4B30" w:rsidRPr="00637F92">
          <w:rPr>
            <w:rStyle w:val="af5"/>
            <w:b/>
            <w:noProof/>
            <w:sz w:val="22"/>
            <w:szCs w:val="22"/>
          </w:rPr>
          <w:t xml:space="preserve">Strategy for the URBACT contribution to Europe 2020 and to the </w:t>
        </w:r>
        <w:r w:rsidR="00EA4B30" w:rsidRPr="00637F92">
          <w:rPr>
            <w:rStyle w:val="af5"/>
            <w:b/>
            <w:noProof/>
            <w:sz w:val="22"/>
            <w:szCs w:val="22"/>
          </w:rPr>
          <w:tab/>
          <w:t>achievement of economic, social and territorial cohesion</w:t>
        </w:r>
        <w:r w:rsidR="00EA4B30" w:rsidRPr="00637F92">
          <w:rPr>
            <w:b/>
            <w:noProof/>
            <w:webHidden/>
          </w:rPr>
          <w:tab/>
        </w:r>
        <w:r w:rsidR="00060EF2" w:rsidRPr="009A6BFA">
          <w:rPr>
            <w:b/>
            <w:noProof/>
            <w:webHidden/>
            <w:sz w:val="20"/>
            <w:szCs w:val="20"/>
          </w:rPr>
          <w:fldChar w:fldCharType="begin"/>
        </w:r>
        <w:r w:rsidR="00EA4B30" w:rsidRPr="009A6BFA">
          <w:rPr>
            <w:b/>
            <w:noProof/>
            <w:webHidden/>
            <w:sz w:val="20"/>
            <w:szCs w:val="20"/>
          </w:rPr>
          <w:instrText xml:space="preserve"> PAGEREF _Toc384648431 \h </w:instrText>
        </w:r>
        <w:r w:rsidR="00060EF2" w:rsidRPr="009A6BFA">
          <w:rPr>
            <w:b/>
            <w:noProof/>
            <w:webHidden/>
            <w:sz w:val="20"/>
            <w:szCs w:val="20"/>
          </w:rPr>
        </w:r>
        <w:r w:rsidR="00060EF2" w:rsidRPr="009A6BFA">
          <w:rPr>
            <w:b/>
            <w:noProof/>
            <w:webHidden/>
            <w:sz w:val="20"/>
            <w:szCs w:val="20"/>
          </w:rPr>
          <w:fldChar w:fldCharType="separate"/>
        </w:r>
        <w:r w:rsidR="00100D56">
          <w:rPr>
            <w:b/>
            <w:noProof/>
            <w:webHidden/>
            <w:sz w:val="20"/>
            <w:szCs w:val="20"/>
          </w:rPr>
          <w:t>5</w:t>
        </w:r>
        <w:r w:rsidR="00060EF2" w:rsidRPr="009A6BFA">
          <w:rPr>
            <w:b/>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32" w:history="1">
        <w:r w:rsidR="00EA4B30" w:rsidRPr="00EA4B30">
          <w:rPr>
            <w:rStyle w:val="af5"/>
            <w:noProof/>
            <w:sz w:val="22"/>
            <w:szCs w:val="22"/>
          </w:rPr>
          <w:t xml:space="preserve">1.1.1 </w:t>
        </w:r>
        <w:r w:rsidR="00EA4B30">
          <w:rPr>
            <w:rStyle w:val="af5"/>
            <w:noProof/>
            <w:sz w:val="22"/>
            <w:szCs w:val="22"/>
          </w:rPr>
          <w:tab/>
        </w:r>
        <w:r w:rsidR="00EA4B30" w:rsidRPr="00EA4B30">
          <w:rPr>
            <w:rStyle w:val="af5"/>
            <w:noProof/>
            <w:sz w:val="22"/>
            <w:szCs w:val="22"/>
          </w:rPr>
          <w:t>The context of the programme</w:t>
        </w:r>
        <w:r w:rsidR="00EA4B30" w:rsidRPr="00EA4B30">
          <w:rPr>
            <w:noProof/>
            <w:webHidden/>
          </w:rPr>
          <w:tab/>
        </w:r>
        <w:r w:rsidR="00060EF2" w:rsidRPr="009A6BFA">
          <w:rPr>
            <w:noProof/>
            <w:webHidden/>
            <w:sz w:val="20"/>
            <w:szCs w:val="20"/>
          </w:rPr>
          <w:fldChar w:fldCharType="begin"/>
        </w:r>
        <w:r w:rsidR="00EA4B30" w:rsidRPr="009A6BFA">
          <w:rPr>
            <w:noProof/>
            <w:webHidden/>
            <w:sz w:val="20"/>
            <w:szCs w:val="20"/>
          </w:rPr>
          <w:instrText xml:space="preserve"> PAGEREF _Toc384648432 \h </w:instrText>
        </w:r>
        <w:r w:rsidR="00060EF2" w:rsidRPr="009A6BFA">
          <w:rPr>
            <w:noProof/>
            <w:webHidden/>
            <w:sz w:val="20"/>
            <w:szCs w:val="20"/>
          </w:rPr>
        </w:r>
        <w:r w:rsidR="00060EF2" w:rsidRPr="009A6BFA">
          <w:rPr>
            <w:noProof/>
            <w:webHidden/>
            <w:sz w:val="20"/>
            <w:szCs w:val="20"/>
          </w:rPr>
          <w:fldChar w:fldCharType="separate"/>
        </w:r>
        <w:r w:rsidR="00100D56">
          <w:rPr>
            <w:noProof/>
            <w:webHidden/>
            <w:sz w:val="20"/>
            <w:szCs w:val="20"/>
          </w:rPr>
          <w:t>5</w:t>
        </w:r>
        <w:r w:rsidR="00060EF2" w:rsidRPr="009A6BFA">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33" w:history="1">
        <w:r w:rsidR="00EA4B30" w:rsidRPr="00EA4B30">
          <w:rPr>
            <w:rStyle w:val="af5"/>
            <w:noProof/>
            <w:sz w:val="22"/>
            <w:szCs w:val="22"/>
          </w:rPr>
          <w:t xml:space="preserve">1.1.2 </w:t>
        </w:r>
        <w:r w:rsidR="00EA4B30">
          <w:rPr>
            <w:rStyle w:val="af5"/>
            <w:noProof/>
            <w:sz w:val="22"/>
            <w:szCs w:val="22"/>
          </w:rPr>
          <w:tab/>
        </w:r>
        <w:r w:rsidR="00EA4B30" w:rsidRPr="00EA4B30">
          <w:rPr>
            <w:rStyle w:val="af5"/>
            <w:noProof/>
            <w:sz w:val="22"/>
            <w:szCs w:val="22"/>
          </w:rPr>
          <w:t>Urban context and the needs of cities</w:t>
        </w:r>
        <w:r w:rsidR="00EA4B30" w:rsidRPr="00EA4B30">
          <w:rPr>
            <w:noProof/>
            <w:webHidden/>
          </w:rPr>
          <w:tab/>
        </w:r>
        <w:r w:rsidR="00060EF2" w:rsidRPr="009A6BFA">
          <w:rPr>
            <w:noProof/>
            <w:webHidden/>
            <w:sz w:val="20"/>
            <w:szCs w:val="20"/>
          </w:rPr>
          <w:fldChar w:fldCharType="begin"/>
        </w:r>
        <w:r w:rsidR="00EA4B30" w:rsidRPr="009A6BFA">
          <w:rPr>
            <w:noProof/>
            <w:webHidden/>
            <w:sz w:val="20"/>
            <w:szCs w:val="20"/>
          </w:rPr>
          <w:instrText xml:space="preserve"> PAGEREF _Toc384648433 \h </w:instrText>
        </w:r>
        <w:r w:rsidR="00060EF2" w:rsidRPr="009A6BFA">
          <w:rPr>
            <w:noProof/>
            <w:webHidden/>
            <w:sz w:val="20"/>
            <w:szCs w:val="20"/>
          </w:rPr>
        </w:r>
        <w:r w:rsidR="00060EF2" w:rsidRPr="009A6BFA">
          <w:rPr>
            <w:noProof/>
            <w:webHidden/>
            <w:sz w:val="20"/>
            <w:szCs w:val="20"/>
          </w:rPr>
          <w:fldChar w:fldCharType="separate"/>
        </w:r>
        <w:r w:rsidR="00100D56">
          <w:rPr>
            <w:noProof/>
            <w:webHidden/>
            <w:sz w:val="20"/>
            <w:szCs w:val="20"/>
          </w:rPr>
          <w:t>8</w:t>
        </w:r>
        <w:r w:rsidR="00060EF2" w:rsidRPr="009A6BFA">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34" w:history="1">
        <w:r w:rsidR="00EA4B30" w:rsidRPr="00EA4B30">
          <w:rPr>
            <w:rStyle w:val="af5"/>
            <w:noProof/>
            <w:sz w:val="22"/>
            <w:szCs w:val="22"/>
          </w:rPr>
          <w:t xml:space="preserve">1.1.3 </w:t>
        </w:r>
        <w:r w:rsidR="00EA4B30">
          <w:rPr>
            <w:rStyle w:val="af5"/>
            <w:noProof/>
            <w:sz w:val="22"/>
            <w:szCs w:val="22"/>
          </w:rPr>
          <w:tab/>
        </w:r>
        <w:r w:rsidR="00EA4B30" w:rsidRPr="00EA4B30">
          <w:rPr>
            <w:rStyle w:val="af5"/>
            <w:noProof/>
            <w:sz w:val="22"/>
            <w:szCs w:val="22"/>
          </w:rPr>
          <w:t>Strategy</w:t>
        </w:r>
        <w:r w:rsidR="00EA4B30" w:rsidRPr="00EA4B30">
          <w:rPr>
            <w:noProof/>
            <w:webHidden/>
          </w:rPr>
          <w:tab/>
        </w:r>
        <w:r w:rsidR="00060EF2" w:rsidRPr="009A6BFA">
          <w:rPr>
            <w:noProof/>
            <w:webHidden/>
            <w:sz w:val="20"/>
            <w:szCs w:val="20"/>
          </w:rPr>
          <w:fldChar w:fldCharType="begin"/>
        </w:r>
        <w:r w:rsidR="00EA4B30" w:rsidRPr="009A6BFA">
          <w:rPr>
            <w:noProof/>
            <w:webHidden/>
            <w:sz w:val="20"/>
            <w:szCs w:val="20"/>
          </w:rPr>
          <w:instrText xml:space="preserve"> PAGEREF _Toc384648434 \h </w:instrText>
        </w:r>
        <w:r w:rsidR="00060EF2" w:rsidRPr="009A6BFA">
          <w:rPr>
            <w:noProof/>
            <w:webHidden/>
            <w:sz w:val="20"/>
            <w:szCs w:val="20"/>
          </w:rPr>
        </w:r>
        <w:r w:rsidR="00060EF2" w:rsidRPr="009A6BFA">
          <w:rPr>
            <w:noProof/>
            <w:webHidden/>
            <w:sz w:val="20"/>
            <w:szCs w:val="20"/>
          </w:rPr>
          <w:fldChar w:fldCharType="separate"/>
        </w:r>
        <w:r w:rsidR="00100D56">
          <w:rPr>
            <w:noProof/>
            <w:webHidden/>
            <w:sz w:val="20"/>
            <w:szCs w:val="20"/>
          </w:rPr>
          <w:t>17</w:t>
        </w:r>
        <w:r w:rsidR="00060EF2" w:rsidRPr="009A6BFA">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35" w:history="1">
        <w:r w:rsidR="00EA4B30" w:rsidRPr="00BE5386">
          <w:rPr>
            <w:rStyle w:val="af5"/>
            <w:b/>
            <w:noProof/>
            <w:sz w:val="22"/>
            <w:szCs w:val="22"/>
          </w:rPr>
          <w:t>1.2</w:t>
        </w:r>
        <w:r w:rsidR="00EA4B30" w:rsidRPr="00BE5386">
          <w:rPr>
            <w:rFonts w:asciiTheme="minorHAnsi" w:eastAsiaTheme="minorEastAsia" w:hAnsiTheme="minorHAnsi" w:cstheme="minorBidi"/>
            <w:b/>
            <w:noProof/>
            <w:lang w:val="fr-FR" w:eastAsia="fr-FR"/>
          </w:rPr>
          <w:tab/>
        </w:r>
        <w:r w:rsidR="00EA4B30" w:rsidRPr="00BE5386">
          <w:rPr>
            <w:rStyle w:val="af5"/>
            <w:b/>
            <w:noProof/>
            <w:sz w:val="22"/>
            <w:szCs w:val="22"/>
          </w:rPr>
          <w:t>Justification of the financial allocation</w:t>
        </w:r>
        <w:r w:rsidR="00EA4B30" w:rsidRPr="00EA4B30">
          <w:rPr>
            <w:noProof/>
            <w:webHidden/>
          </w:rPr>
          <w:tab/>
        </w:r>
        <w:r w:rsidR="00060EF2" w:rsidRPr="009A6BFA">
          <w:rPr>
            <w:noProof/>
            <w:webHidden/>
            <w:sz w:val="20"/>
            <w:szCs w:val="20"/>
          </w:rPr>
          <w:fldChar w:fldCharType="begin"/>
        </w:r>
        <w:r w:rsidR="00EA4B30" w:rsidRPr="009A6BFA">
          <w:rPr>
            <w:noProof/>
            <w:webHidden/>
            <w:sz w:val="20"/>
            <w:szCs w:val="20"/>
          </w:rPr>
          <w:instrText xml:space="preserve"> PAGEREF _Toc384648435 \h </w:instrText>
        </w:r>
        <w:r w:rsidR="00060EF2" w:rsidRPr="009A6BFA">
          <w:rPr>
            <w:noProof/>
            <w:webHidden/>
            <w:sz w:val="20"/>
            <w:szCs w:val="20"/>
          </w:rPr>
        </w:r>
        <w:r w:rsidR="00060EF2" w:rsidRPr="009A6BFA">
          <w:rPr>
            <w:noProof/>
            <w:webHidden/>
            <w:sz w:val="20"/>
            <w:szCs w:val="20"/>
          </w:rPr>
          <w:fldChar w:fldCharType="separate"/>
        </w:r>
        <w:r w:rsidR="00100D56">
          <w:rPr>
            <w:noProof/>
            <w:webHidden/>
            <w:sz w:val="20"/>
            <w:szCs w:val="20"/>
          </w:rPr>
          <w:t>19</w:t>
        </w:r>
        <w:r w:rsidR="00060EF2" w:rsidRPr="009A6BFA">
          <w:rPr>
            <w:noProof/>
            <w:webHidden/>
            <w:sz w:val="20"/>
            <w:szCs w:val="20"/>
          </w:rPr>
          <w:fldChar w:fldCharType="end"/>
        </w:r>
      </w:hyperlink>
    </w:p>
    <w:p w:rsidR="00EA4B30" w:rsidRPr="00EA4B30" w:rsidRDefault="00FA25C5" w:rsidP="00BD09C5">
      <w:pPr>
        <w:pStyle w:val="11"/>
        <w:spacing w:after="60"/>
        <w:rPr>
          <w:rFonts w:asciiTheme="minorHAnsi" w:eastAsiaTheme="minorEastAsia" w:hAnsiTheme="minorHAnsi" w:cstheme="minorBidi"/>
          <w:lang w:val="fr-FR"/>
        </w:rPr>
      </w:pPr>
      <w:hyperlink w:anchor="_Toc384648436" w:history="1">
        <w:r w:rsidR="00EA4B30" w:rsidRPr="00EA4B30">
          <w:rPr>
            <w:rStyle w:val="af5"/>
            <w:sz w:val="22"/>
            <w:szCs w:val="22"/>
          </w:rPr>
          <w:t>Section 2.</w:t>
        </w:r>
        <w:r w:rsidR="00EA4B30" w:rsidRPr="00EA4B30">
          <w:rPr>
            <w:rFonts w:asciiTheme="minorHAnsi" w:eastAsiaTheme="minorEastAsia" w:hAnsiTheme="minorHAnsi" w:cstheme="minorBidi"/>
            <w:lang w:val="fr-FR"/>
          </w:rPr>
          <w:tab/>
        </w:r>
        <w:r w:rsidR="00EA4B30" w:rsidRPr="00EA4B30">
          <w:rPr>
            <w:rStyle w:val="af5"/>
            <w:sz w:val="22"/>
            <w:szCs w:val="22"/>
          </w:rPr>
          <w:t>Priority axes</w:t>
        </w:r>
        <w:r w:rsidR="00BD20A7">
          <w:rPr>
            <w:rStyle w:val="af5"/>
            <w:sz w:val="22"/>
            <w:szCs w:val="22"/>
          </w:rPr>
          <w:t xml:space="preserve"> </w:t>
        </w:r>
        <w:r w:rsidR="00EA4B30" w:rsidRPr="00EA4B30">
          <w:rPr>
            <w:webHidden/>
          </w:rPr>
          <w:tab/>
        </w:r>
        <w:r w:rsidR="00060EF2" w:rsidRPr="00B304B9">
          <w:rPr>
            <w:webHidden/>
            <w:sz w:val="22"/>
            <w:szCs w:val="22"/>
          </w:rPr>
          <w:fldChar w:fldCharType="begin"/>
        </w:r>
        <w:r w:rsidR="00EA4B30" w:rsidRPr="00B304B9">
          <w:rPr>
            <w:webHidden/>
            <w:sz w:val="22"/>
            <w:szCs w:val="22"/>
          </w:rPr>
          <w:instrText xml:space="preserve"> PAGEREF _Toc384648436 \h </w:instrText>
        </w:r>
        <w:r w:rsidR="00060EF2" w:rsidRPr="00B304B9">
          <w:rPr>
            <w:webHidden/>
            <w:sz w:val="22"/>
            <w:szCs w:val="22"/>
          </w:rPr>
        </w:r>
        <w:r w:rsidR="00060EF2" w:rsidRPr="00B304B9">
          <w:rPr>
            <w:webHidden/>
            <w:sz w:val="22"/>
            <w:szCs w:val="22"/>
          </w:rPr>
          <w:fldChar w:fldCharType="separate"/>
        </w:r>
        <w:r w:rsidR="00100D56">
          <w:rPr>
            <w:webHidden/>
            <w:sz w:val="22"/>
            <w:szCs w:val="22"/>
          </w:rPr>
          <w:t>23</w:t>
        </w:r>
        <w:r w:rsidR="00060EF2" w:rsidRPr="00B304B9">
          <w:rPr>
            <w:webHidden/>
            <w:sz w:val="22"/>
            <w:szCs w:val="22"/>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37" w:history="1">
        <w:r w:rsidR="00EA4B30" w:rsidRPr="00BE5386">
          <w:rPr>
            <w:rStyle w:val="af5"/>
            <w:b/>
            <w:noProof/>
            <w:sz w:val="22"/>
            <w:szCs w:val="22"/>
          </w:rPr>
          <w:t xml:space="preserve">2.A. </w:t>
        </w:r>
        <w:r w:rsidR="00EA4B30" w:rsidRPr="00BE5386">
          <w:rPr>
            <w:rFonts w:asciiTheme="minorHAnsi" w:eastAsiaTheme="minorEastAsia" w:hAnsiTheme="minorHAnsi" w:cstheme="minorBidi"/>
            <w:b/>
            <w:noProof/>
            <w:lang w:val="fr-FR" w:eastAsia="fr-FR"/>
          </w:rPr>
          <w:tab/>
        </w:r>
        <w:r w:rsidR="00EA4B30" w:rsidRPr="00BE5386">
          <w:rPr>
            <w:rStyle w:val="af5"/>
            <w:b/>
            <w:noProof/>
            <w:sz w:val="22"/>
            <w:szCs w:val="22"/>
          </w:rPr>
          <w:t>Description of Priority Axes</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_Toc384648437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23</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38" w:history="1">
        <w:r w:rsidR="00EA4B30" w:rsidRPr="00EA4B30">
          <w:rPr>
            <w:rStyle w:val="af5"/>
            <w:noProof/>
            <w:sz w:val="22"/>
            <w:szCs w:val="22"/>
          </w:rPr>
          <w:t xml:space="preserve">2.A.1. </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Priority Axis 1</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_Toc384648438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23</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39" w:history="1">
        <w:r w:rsidR="00EA4B30" w:rsidRPr="00EA4B30">
          <w:rPr>
            <w:rStyle w:val="af5"/>
            <w:noProof/>
            <w:sz w:val="22"/>
            <w:szCs w:val="22"/>
          </w:rPr>
          <w:t xml:space="preserve">2.A.2 </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 xml:space="preserve">Specific objectives corresponding to the investment priority and expected </w:t>
        </w:r>
        <w:r w:rsidR="00BD20A7">
          <w:rPr>
            <w:rStyle w:val="af5"/>
            <w:noProof/>
            <w:sz w:val="22"/>
            <w:szCs w:val="22"/>
          </w:rPr>
          <w:tab/>
        </w:r>
        <w:r w:rsidR="00EA4B30" w:rsidRPr="00EA4B30">
          <w:rPr>
            <w:rStyle w:val="af5"/>
            <w:noProof/>
            <w:sz w:val="22"/>
            <w:szCs w:val="22"/>
          </w:rPr>
          <w:t>results</w:t>
        </w:r>
        <w:r w:rsidR="00BD20A7">
          <w:rPr>
            <w:rStyle w:val="af5"/>
            <w:noProof/>
            <w:sz w:val="22"/>
            <w:szCs w:val="22"/>
          </w:rPr>
          <w:tab/>
        </w:r>
        <w:r w:rsidR="00060EF2" w:rsidRPr="00B304B9">
          <w:rPr>
            <w:noProof/>
            <w:webHidden/>
            <w:sz w:val="20"/>
            <w:szCs w:val="20"/>
          </w:rPr>
          <w:fldChar w:fldCharType="begin"/>
        </w:r>
        <w:r w:rsidR="00EA4B30" w:rsidRPr="00B304B9">
          <w:rPr>
            <w:noProof/>
            <w:webHidden/>
            <w:sz w:val="20"/>
            <w:szCs w:val="20"/>
          </w:rPr>
          <w:instrText xml:space="preserve"> PAGEREF _Toc384648439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23</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40" w:history="1">
        <w:r w:rsidR="00EA4B30" w:rsidRPr="00EA4B30">
          <w:rPr>
            <w:rStyle w:val="af5"/>
            <w:noProof/>
            <w:sz w:val="22"/>
            <w:szCs w:val="22"/>
          </w:rPr>
          <w:t xml:space="preserve">2.A.3. </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Actions to be supported under the investment priority</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_Toc384648440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31</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42" w:history="1">
        <w:r w:rsidR="00EA4B30" w:rsidRPr="00EA4B30">
          <w:rPr>
            <w:rStyle w:val="af5"/>
            <w:noProof/>
            <w:sz w:val="22"/>
            <w:szCs w:val="22"/>
          </w:rPr>
          <w:t xml:space="preserve">2.A.4 </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Performance framework</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_Toc384648442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41</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43" w:history="1">
        <w:r w:rsidR="00EA4B30" w:rsidRPr="00EA4B30">
          <w:rPr>
            <w:rStyle w:val="af5"/>
            <w:noProof/>
            <w:sz w:val="22"/>
            <w:szCs w:val="22"/>
          </w:rPr>
          <w:t xml:space="preserve">2.A.5 </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Categories of Intervention</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_Toc384648443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42</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44" w:history="1">
        <w:r w:rsidR="00EA4B30" w:rsidRPr="00BE5386">
          <w:rPr>
            <w:rStyle w:val="af5"/>
            <w:b/>
            <w:noProof/>
            <w:sz w:val="22"/>
            <w:szCs w:val="22"/>
          </w:rPr>
          <w:t>2.B.</w:t>
        </w:r>
        <w:r w:rsidR="00EA4B30" w:rsidRPr="00BE5386">
          <w:rPr>
            <w:rFonts w:asciiTheme="minorHAnsi" w:eastAsiaTheme="minorEastAsia" w:hAnsiTheme="minorHAnsi" w:cstheme="minorBidi"/>
            <w:b/>
            <w:noProof/>
            <w:lang w:val="fr-FR" w:eastAsia="fr-FR"/>
          </w:rPr>
          <w:tab/>
        </w:r>
        <w:r w:rsidR="00EA4B30" w:rsidRPr="00BE5386">
          <w:rPr>
            <w:rStyle w:val="af5"/>
            <w:b/>
            <w:noProof/>
            <w:sz w:val="22"/>
            <w:szCs w:val="22"/>
          </w:rPr>
          <w:t>Description of the priority axes for technical assistance</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_Toc384648444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43</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45" w:history="1">
        <w:r w:rsidR="00EA4B30" w:rsidRPr="00EA4B30">
          <w:rPr>
            <w:rStyle w:val="af5"/>
            <w:noProof/>
            <w:sz w:val="22"/>
            <w:szCs w:val="22"/>
          </w:rPr>
          <w:t>2.B.1.</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Specific</w:t>
        </w:r>
        <w:r w:rsidR="00BD20A7">
          <w:rPr>
            <w:rStyle w:val="af5"/>
            <w:noProof/>
            <w:sz w:val="22"/>
            <w:szCs w:val="22"/>
          </w:rPr>
          <w:t xml:space="preserve"> objective and expected results</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_Toc384648445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43</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46" w:history="1">
        <w:r w:rsidR="00EA4B30" w:rsidRPr="00EA4B30">
          <w:rPr>
            <w:rStyle w:val="af5"/>
            <w:noProof/>
            <w:sz w:val="22"/>
            <w:szCs w:val="22"/>
          </w:rPr>
          <w:t>2.B.2.</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Result Indicators</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_Toc384648446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43</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47" w:history="1">
        <w:r w:rsidR="00EA4B30" w:rsidRPr="00EA4B30">
          <w:rPr>
            <w:rStyle w:val="af5"/>
            <w:noProof/>
            <w:sz w:val="22"/>
            <w:szCs w:val="22"/>
          </w:rPr>
          <w:t>2.B.3.</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 xml:space="preserve">Actions to be supported and their expected contribution to the specific </w:t>
        </w:r>
        <w:r w:rsidR="00BD20A7">
          <w:rPr>
            <w:rStyle w:val="af5"/>
            <w:noProof/>
            <w:sz w:val="22"/>
            <w:szCs w:val="22"/>
          </w:rPr>
          <w:tab/>
        </w:r>
        <w:r w:rsidR="00EA4B30" w:rsidRPr="00EA4B30">
          <w:rPr>
            <w:rStyle w:val="af5"/>
            <w:noProof/>
            <w:sz w:val="22"/>
            <w:szCs w:val="22"/>
          </w:rPr>
          <w:t>objective</w:t>
        </w:r>
        <w:r w:rsidR="00BD20A7">
          <w:rPr>
            <w:rStyle w:val="af5"/>
            <w:noProof/>
            <w:sz w:val="22"/>
            <w:szCs w:val="22"/>
          </w:rPr>
          <w:t xml:space="preserve"> </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_Toc384648447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44</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48" w:history="1">
        <w:r w:rsidR="00EA4B30" w:rsidRPr="00EA4B30">
          <w:rPr>
            <w:rStyle w:val="af5"/>
            <w:noProof/>
            <w:sz w:val="22"/>
            <w:szCs w:val="22"/>
          </w:rPr>
          <w:t>2.B.4.</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Categories of Intervention.</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_Toc384648448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46</w:t>
        </w:r>
        <w:r w:rsidR="00060EF2" w:rsidRPr="00B304B9">
          <w:rPr>
            <w:noProof/>
            <w:webHidden/>
            <w:sz w:val="20"/>
            <w:szCs w:val="20"/>
          </w:rPr>
          <w:fldChar w:fldCharType="end"/>
        </w:r>
      </w:hyperlink>
    </w:p>
    <w:p w:rsidR="00EA4B30" w:rsidRPr="00EA4B30" w:rsidRDefault="00FA25C5" w:rsidP="00BD09C5">
      <w:pPr>
        <w:pStyle w:val="11"/>
        <w:spacing w:after="60"/>
        <w:rPr>
          <w:rFonts w:asciiTheme="minorHAnsi" w:eastAsiaTheme="minorEastAsia" w:hAnsiTheme="minorHAnsi" w:cstheme="minorBidi"/>
          <w:lang w:val="fr-FR"/>
        </w:rPr>
      </w:pPr>
      <w:hyperlink w:anchor="_Toc384648449" w:history="1">
        <w:r w:rsidR="00EA4B30" w:rsidRPr="00EA4B30">
          <w:rPr>
            <w:rStyle w:val="af5"/>
            <w:sz w:val="22"/>
            <w:szCs w:val="22"/>
          </w:rPr>
          <w:t>S</w:t>
        </w:r>
        <w:r w:rsidR="00150F58">
          <w:rPr>
            <w:rStyle w:val="af5"/>
            <w:sz w:val="22"/>
            <w:szCs w:val="22"/>
          </w:rPr>
          <w:t>ection</w:t>
        </w:r>
        <w:r w:rsidR="00EA4B30" w:rsidRPr="00EA4B30">
          <w:rPr>
            <w:rStyle w:val="af5"/>
            <w:sz w:val="22"/>
            <w:szCs w:val="22"/>
          </w:rPr>
          <w:t xml:space="preserve"> 3 The Financing Plan for the Cooperation Programme </w:t>
        </w:r>
        <w:r w:rsidR="00EA4B30" w:rsidRPr="00EA4B30">
          <w:rPr>
            <w:webHidden/>
          </w:rPr>
          <w:tab/>
        </w:r>
        <w:r w:rsidR="00060EF2" w:rsidRPr="00B304B9">
          <w:rPr>
            <w:webHidden/>
            <w:sz w:val="22"/>
            <w:szCs w:val="22"/>
          </w:rPr>
          <w:fldChar w:fldCharType="begin"/>
        </w:r>
        <w:r w:rsidR="00EA4B30" w:rsidRPr="00B304B9">
          <w:rPr>
            <w:webHidden/>
            <w:sz w:val="22"/>
            <w:szCs w:val="22"/>
          </w:rPr>
          <w:instrText xml:space="preserve"> PAGEREF _Toc384648449 \h </w:instrText>
        </w:r>
        <w:r w:rsidR="00060EF2" w:rsidRPr="00B304B9">
          <w:rPr>
            <w:webHidden/>
            <w:sz w:val="22"/>
            <w:szCs w:val="22"/>
          </w:rPr>
        </w:r>
        <w:r w:rsidR="00060EF2" w:rsidRPr="00B304B9">
          <w:rPr>
            <w:webHidden/>
            <w:sz w:val="22"/>
            <w:szCs w:val="22"/>
          </w:rPr>
          <w:fldChar w:fldCharType="separate"/>
        </w:r>
        <w:r w:rsidR="00100D56">
          <w:rPr>
            <w:webHidden/>
            <w:sz w:val="22"/>
            <w:szCs w:val="22"/>
          </w:rPr>
          <w:t>48</w:t>
        </w:r>
        <w:r w:rsidR="00060EF2" w:rsidRPr="00B304B9">
          <w:rPr>
            <w:webHidden/>
            <w:sz w:val="22"/>
            <w:szCs w:val="22"/>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50" w:history="1">
        <w:r w:rsidR="00EA4B30" w:rsidRPr="00EA4B30">
          <w:rPr>
            <w:rStyle w:val="af5"/>
            <w:noProof/>
            <w:sz w:val="22"/>
            <w:szCs w:val="22"/>
          </w:rPr>
          <w:t>3.1  A table specifying for each year</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_Toc384648450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48</w:t>
        </w:r>
        <w:r w:rsidR="00060EF2" w:rsidRPr="00B304B9">
          <w:rPr>
            <w:noProof/>
            <w:webHidden/>
            <w:sz w:val="20"/>
            <w:szCs w:val="20"/>
          </w:rPr>
          <w:fldChar w:fldCharType="end"/>
        </w:r>
      </w:hyperlink>
    </w:p>
    <w:p w:rsidR="00EA4B30" w:rsidRDefault="00FA25C5" w:rsidP="00BD09C5">
      <w:pPr>
        <w:pStyle w:val="21"/>
        <w:spacing w:after="60"/>
        <w:rPr>
          <w:rStyle w:val="af5"/>
          <w:noProof/>
          <w:sz w:val="22"/>
          <w:szCs w:val="22"/>
        </w:rPr>
      </w:pPr>
      <w:hyperlink w:anchor="_Toc384648451" w:history="1">
        <w:r w:rsidR="00EA4B30" w:rsidRPr="00EA4B30">
          <w:rPr>
            <w:rStyle w:val="af5"/>
            <w:noProof/>
            <w:sz w:val="22"/>
            <w:szCs w:val="22"/>
          </w:rPr>
          <w:t>3.2  A financial plan of the cooperation</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_Toc384648451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49</w:t>
        </w:r>
        <w:r w:rsidR="00060EF2" w:rsidRPr="00B304B9">
          <w:rPr>
            <w:noProof/>
            <w:webHidden/>
            <w:sz w:val="20"/>
            <w:szCs w:val="20"/>
          </w:rPr>
          <w:fldChar w:fldCharType="end"/>
        </w:r>
      </w:hyperlink>
    </w:p>
    <w:p w:rsidR="00637F92" w:rsidRDefault="00FA25C5" w:rsidP="00637F92">
      <w:pPr>
        <w:pStyle w:val="21"/>
        <w:spacing w:after="60"/>
        <w:rPr>
          <w:rStyle w:val="af5"/>
          <w:noProof/>
          <w:sz w:val="22"/>
          <w:szCs w:val="22"/>
        </w:rPr>
      </w:pPr>
      <w:hyperlink w:anchor="_Toc384648451" w:history="1">
        <w:r w:rsidR="00637F92" w:rsidRPr="00EA4B30">
          <w:rPr>
            <w:rStyle w:val="af5"/>
            <w:noProof/>
            <w:sz w:val="22"/>
            <w:szCs w:val="22"/>
          </w:rPr>
          <w:t xml:space="preserve">3.2  </w:t>
        </w:r>
        <w:r w:rsidR="00637F92">
          <w:rPr>
            <w:rStyle w:val="af5"/>
            <w:noProof/>
            <w:sz w:val="22"/>
            <w:szCs w:val="22"/>
          </w:rPr>
          <w:t>B</w:t>
        </w:r>
        <w:r w:rsidR="00637F92" w:rsidRPr="00EA4B30">
          <w:rPr>
            <w:rStyle w:val="af5"/>
            <w:noProof/>
            <w:sz w:val="22"/>
            <w:szCs w:val="22"/>
          </w:rPr>
          <w:t xml:space="preserve"> </w:t>
        </w:r>
        <w:r w:rsidR="00637F92" w:rsidRPr="001B277B">
          <w:rPr>
            <w:bCs/>
            <w:noProof/>
            <w:sz w:val="22"/>
            <w:szCs w:val="22"/>
          </w:rPr>
          <w:t>Breakdown of the financial plan</w:t>
        </w:r>
        <w:r w:rsidR="00637F92" w:rsidRPr="00EA4B30">
          <w:rPr>
            <w:noProof/>
            <w:webHidden/>
          </w:rPr>
          <w:tab/>
        </w:r>
        <w:r w:rsidR="00637F92" w:rsidRPr="00B304B9">
          <w:rPr>
            <w:noProof/>
            <w:webHidden/>
            <w:sz w:val="20"/>
            <w:szCs w:val="20"/>
          </w:rPr>
          <w:t>50</w:t>
        </w:r>
      </w:hyperlink>
    </w:p>
    <w:p w:rsidR="00EA4B30" w:rsidRPr="00EA4B30" w:rsidRDefault="00FA25C5" w:rsidP="00BD09C5">
      <w:pPr>
        <w:pStyle w:val="11"/>
        <w:spacing w:after="60"/>
        <w:rPr>
          <w:rFonts w:asciiTheme="minorHAnsi" w:eastAsiaTheme="minorEastAsia" w:hAnsiTheme="minorHAnsi" w:cstheme="minorBidi"/>
          <w:lang w:val="fr-FR"/>
        </w:rPr>
      </w:pPr>
      <w:hyperlink w:anchor="_Toc384648452" w:history="1">
        <w:r w:rsidR="00EA4B30" w:rsidRPr="00EA4B30">
          <w:rPr>
            <w:rStyle w:val="af5"/>
            <w:sz w:val="22"/>
            <w:szCs w:val="22"/>
          </w:rPr>
          <w:t>Section 4. Integrated approach to territorial development</w:t>
        </w:r>
        <w:r w:rsidR="00EA4B30" w:rsidRPr="00EA4B30">
          <w:rPr>
            <w:webHidden/>
          </w:rPr>
          <w:tab/>
        </w:r>
        <w:r w:rsidR="00060EF2" w:rsidRPr="00B304B9">
          <w:rPr>
            <w:webHidden/>
            <w:sz w:val="22"/>
            <w:szCs w:val="22"/>
          </w:rPr>
          <w:fldChar w:fldCharType="begin"/>
        </w:r>
        <w:r w:rsidR="00EA4B30" w:rsidRPr="00B304B9">
          <w:rPr>
            <w:webHidden/>
            <w:sz w:val="22"/>
            <w:szCs w:val="22"/>
          </w:rPr>
          <w:instrText xml:space="preserve"> PAGEREF _Toc384648452 \h </w:instrText>
        </w:r>
        <w:r w:rsidR="00060EF2" w:rsidRPr="00B304B9">
          <w:rPr>
            <w:webHidden/>
            <w:sz w:val="22"/>
            <w:szCs w:val="22"/>
          </w:rPr>
        </w:r>
        <w:r w:rsidR="00060EF2" w:rsidRPr="00B304B9">
          <w:rPr>
            <w:webHidden/>
            <w:sz w:val="22"/>
            <w:szCs w:val="22"/>
          </w:rPr>
          <w:fldChar w:fldCharType="separate"/>
        </w:r>
        <w:r w:rsidR="00100D56">
          <w:rPr>
            <w:webHidden/>
            <w:sz w:val="22"/>
            <w:szCs w:val="22"/>
          </w:rPr>
          <w:t>52</w:t>
        </w:r>
        <w:r w:rsidR="00060EF2" w:rsidRPr="00B304B9">
          <w:rPr>
            <w:webHidden/>
            <w:sz w:val="22"/>
            <w:szCs w:val="22"/>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53" w:history="1">
        <w:r w:rsidR="00EA4B30" w:rsidRPr="00EA4B30">
          <w:rPr>
            <w:rStyle w:val="af5"/>
            <w:noProof/>
            <w:sz w:val="22"/>
            <w:szCs w:val="22"/>
          </w:rPr>
          <w:t>4.1.</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 xml:space="preserve">The URBACT approach to community-led local development </w:t>
        </w:r>
        <w:r w:rsidR="00040577">
          <w:rPr>
            <w:rStyle w:val="af5"/>
            <w:noProof/>
            <w:sz w:val="22"/>
            <w:szCs w:val="22"/>
          </w:rPr>
          <w:tab/>
        </w:r>
        <w:r w:rsidR="00060EF2" w:rsidRPr="00B304B9">
          <w:rPr>
            <w:noProof/>
            <w:webHidden/>
            <w:sz w:val="20"/>
            <w:szCs w:val="20"/>
          </w:rPr>
          <w:fldChar w:fldCharType="begin"/>
        </w:r>
        <w:r w:rsidR="00EA4B30" w:rsidRPr="00B304B9">
          <w:rPr>
            <w:noProof/>
            <w:webHidden/>
            <w:sz w:val="20"/>
            <w:szCs w:val="20"/>
          </w:rPr>
          <w:instrText xml:space="preserve"> PAGEREF _Toc384648453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53</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54" w:history="1">
        <w:r w:rsidR="00EA4B30" w:rsidRPr="00EA4B30">
          <w:rPr>
            <w:rStyle w:val="af5"/>
            <w:noProof/>
            <w:sz w:val="22"/>
            <w:szCs w:val="22"/>
          </w:rPr>
          <w:t>4.2.</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The URBACT approach to integrated actions for sustainable development</w:t>
        </w:r>
        <w:r w:rsidR="00EA4B30" w:rsidRPr="00EA4B30">
          <w:rPr>
            <w:noProof/>
            <w:webHidden/>
          </w:rPr>
          <w:tab/>
        </w:r>
        <w:r w:rsidR="00BD09C5">
          <w:rPr>
            <w:noProof/>
            <w:webHidden/>
          </w:rPr>
          <w:tab/>
        </w:r>
        <w:r w:rsidR="00BD09C5">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_Toc384648454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54</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55" w:history="1">
        <w:r w:rsidR="00EA4B30" w:rsidRPr="00EA4B30">
          <w:rPr>
            <w:rStyle w:val="af5"/>
            <w:noProof/>
            <w:sz w:val="22"/>
            <w:szCs w:val="22"/>
          </w:rPr>
          <w:t>4.3.</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The URBACT approach to use Integrated Territorial Investment (ITI)</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_Toc384648455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55</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56" w:history="1">
        <w:r w:rsidR="00EA4B30" w:rsidRPr="00EA4B30">
          <w:rPr>
            <w:rStyle w:val="af5"/>
            <w:noProof/>
            <w:sz w:val="22"/>
            <w:szCs w:val="22"/>
          </w:rPr>
          <w:t>4.4.</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The contribution of URBACT to macro-regional and sea basin strategies.</w:t>
        </w:r>
        <w:r w:rsidR="00BD09C5">
          <w:rPr>
            <w:rStyle w:val="af5"/>
            <w:noProof/>
            <w:sz w:val="22"/>
            <w:szCs w:val="22"/>
          </w:rPr>
          <w:tab/>
        </w:r>
        <w:r w:rsidR="00EA4B30" w:rsidRPr="00EA4B30">
          <w:rPr>
            <w:noProof/>
            <w:webHidden/>
          </w:rPr>
          <w:tab/>
        </w:r>
        <w:r w:rsidR="00BD09C5">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_Toc384648456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56</w:t>
        </w:r>
        <w:r w:rsidR="00060EF2" w:rsidRPr="00B304B9">
          <w:rPr>
            <w:noProof/>
            <w:webHidden/>
            <w:sz w:val="20"/>
            <w:szCs w:val="20"/>
          </w:rPr>
          <w:fldChar w:fldCharType="end"/>
        </w:r>
      </w:hyperlink>
    </w:p>
    <w:p w:rsidR="00EA4B30" w:rsidRDefault="00FA25C5" w:rsidP="00BD09C5">
      <w:pPr>
        <w:pStyle w:val="11"/>
        <w:spacing w:after="60"/>
        <w:rPr>
          <w:rStyle w:val="af5"/>
          <w:sz w:val="22"/>
          <w:szCs w:val="22"/>
        </w:rPr>
      </w:pPr>
      <w:hyperlink w:anchor="_Toc384648457" w:history="1">
        <w:r w:rsidR="00EA4B30" w:rsidRPr="00EA4B30">
          <w:rPr>
            <w:rStyle w:val="af5"/>
            <w:sz w:val="22"/>
            <w:szCs w:val="22"/>
          </w:rPr>
          <w:t>Section 5. Implementation provisions for the cooperation programme</w:t>
        </w:r>
        <w:r w:rsidR="00EA4B30" w:rsidRPr="00EA4B30">
          <w:rPr>
            <w:webHidden/>
          </w:rPr>
          <w:tab/>
        </w:r>
        <w:r w:rsidR="00060EF2" w:rsidRPr="00B304B9">
          <w:rPr>
            <w:webHidden/>
            <w:sz w:val="22"/>
            <w:szCs w:val="22"/>
          </w:rPr>
          <w:fldChar w:fldCharType="begin"/>
        </w:r>
        <w:r w:rsidR="00EA4B30" w:rsidRPr="00B304B9">
          <w:rPr>
            <w:webHidden/>
            <w:sz w:val="22"/>
            <w:szCs w:val="22"/>
          </w:rPr>
          <w:instrText xml:space="preserve"> PAGEREF _Toc384648457 \h </w:instrText>
        </w:r>
        <w:r w:rsidR="00060EF2" w:rsidRPr="00B304B9">
          <w:rPr>
            <w:webHidden/>
            <w:sz w:val="22"/>
            <w:szCs w:val="22"/>
          </w:rPr>
        </w:r>
        <w:r w:rsidR="00060EF2" w:rsidRPr="00B304B9">
          <w:rPr>
            <w:webHidden/>
            <w:sz w:val="22"/>
            <w:szCs w:val="22"/>
          </w:rPr>
          <w:fldChar w:fldCharType="separate"/>
        </w:r>
        <w:r w:rsidR="00100D56">
          <w:rPr>
            <w:webHidden/>
            <w:sz w:val="22"/>
            <w:szCs w:val="22"/>
          </w:rPr>
          <w:t>58</w:t>
        </w:r>
        <w:r w:rsidR="00060EF2" w:rsidRPr="00B304B9">
          <w:rPr>
            <w:webHidden/>
            <w:sz w:val="22"/>
            <w:szCs w:val="22"/>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58" w:history="1">
        <w:r w:rsidR="00EA4B30" w:rsidRPr="00BE5386">
          <w:rPr>
            <w:rStyle w:val="af5"/>
            <w:b/>
            <w:noProof/>
            <w:sz w:val="22"/>
            <w:szCs w:val="22"/>
            <w:lang w:eastAsia="ar-SA"/>
          </w:rPr>
          <w:t>5.1.</w:t>
        </w:r>
        <w:r w:rsidR="00EA4B30" w:rsidRPr="00BE5386">
          <w:rPr>
            <w:rFonts w:asciiTheme="minorHAnsi" w:eastAsiaTheme="minorEastAsia" w:hAnsiTheme="minorHAnsi" w:cstheme="minorBidi"/>
            <w:b/>
            <w:noProof/>
            <w:lang w:val="fr-FR" w:eastAsia="fr-FR"/>
          </w:rPr>
          <w:tab/>
        </w:r>
        <w:r w:rsidR="00EA4B30" w:rsidRPr="00BE5386">
          <w:rPr>
            <w:rStyle w:val="af5"/>
            <w:b/>
            <w:noProof/>
            <w:sz w:val="22"/>
            <w:szCs w:val="22"/>
            <w:lang w:eastAsia="ar-SA"/>
          </w:rPr>
          <w:t>Identification of the relevant authorities and bodies</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_Toc384648458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58</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59" w:history="1">
        <w:r w:rsidR="00EA4B30" w:rsidRPr="00EA4B30">
          <w:rPr>
            <w:rStyle w:val="af5"/>
            <w:noProof/>
            <w:sz w:val="22"/>
            <w:szCs w:val="22"/>
            <w:lang w:eastAsia="ar-SA"/>
          </w:rPr>
          <w:t>5.1.2.</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lang w:eastAsia="ar-SA"/>
          </w:rPr>
          <w:t>Procedure for setting up the joint secretariat</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_Toc384648459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60</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60" w:history="1">
        <w:r w:rsidR="00EA4B30" w:rsidRPr="00EA4B30">
          <w:rPr>
            <w:rStyle w:val="af5"/>
            <w:noProof/>
            <w:sz w:val="22"/>
            <w:szCs w:val="22"/>
            <w:lang w:eastAsia="ar-SA"/>
          </w:rPr>
          <w:t>5.1.3.</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lang w:eastAsia="ar-SA"/>
          </w:rPr>
          <w:t xml:space="preserve"> Summary description of the management and control arrangements</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_Toc384648460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60</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61" w:history="1">
        <w:r w:rsidR="00EA4B30" w:rsidRPr="00EA4B30">
          <w:rPr>
            <w:rStyle w:val="af5"/>
            <w:noProof/>
            <w:sz w:val="22"/>
            <w:szCs w:val="22"/>
            <w:lang w:eastAsia="ar-SA"/>
          </w:rPr>
          <w:t>5.1.4.</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lang w:eastAsia="ar-SA"/>
          </w:rPr>
          <w:t xml:space="preserve">The apportionment of liabilities among the participating Member States </w:t>
        </w:r>
        <w:r w:rsidR="00BD09C5">
          <w:rPr>
            <w:rStyle w:val="af5"/>
            <w:noProof/>
            <w:sz w:val="22"/>
            <w:szCs w:val="22"/>
            <w:lang w:eastAsia="ar-SA"/>
          </w:rPr>
          <w:tab/>
        </w:r>
        <w:r w:rsidR="00EA4B30" w:rsidRPr="00EA4B30">
          <w:rPr>
            <w:rStyle w:val="af5"/>
            <w:noProof/>
            <w:sz w:val="22"/>
            <w:szCs w:val="22"/>
            <w:lang w:eastAsia="ar-SA"/>
          </w:rPr>
          <w:t xml:space="preserve">in case of financial corrections imposed by the managing authority or the </w:t>
        </w:r>
        <w:r w:rsidR="00BD09C5">
          <w:rPr>
            <w:rStyle w:val="af5"/>
            <w:noProof/>
            <w:sz w:val="22"/>
            <w:szCs w:val="22"/>
            <w:lang w:eastAsia="ar-SA"/>
          </w:rPr>
          <w:tab/>
        </w:r>
        <w:r w:rsidR="00EA4B30" w:rsidRPr="00EA4B30">
          <w:rPr>
            <w:rStyle w:val="af5"/>
            <w:noProof/>
            <w:sz w:val="22"/>
            <w:szCs w:val="22"/>
            <w:lang w:eastAsia="ar-SA"/>
          </w:rPr>
          <w:t>Commission</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_Toc384648461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74</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62" w:history="1">
        <w:r w:rsidR="00EA4B30" w:rsidRPr="00EA4B30">
          <w:rPr>
            <w:rStyle w:val="af5"/>
            <w:noProof/>
            <w:sz w:val="22"/>
            <w:szCs w:val="22"/>
            <w:lang w:eastAsia="ar-SA"/>
          </w:rPr>
          <w:t>5.1.5.</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lang w:eastAsia="ar-SA"/>
          </w:rPr>
          <w:t>Use of the Euro (2000 words allowed 511 used)</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_Toc384648462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75</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63" w:history="1">
        <w:r w:rsidR="00EA4B30" w:rsidRPr="00BE5386">
          <w:rPr>
            <w:rStyle w:val="af5"/>
            <w:b/>
            <w:noProof/>
            <w:sz w:val="22"/>
            <w:szCs w:val="22"/>
            <w:lang w:eastAsia="ar-SA"/>
          </w:rPr>
          <w:t>5.2.</w:t>
        </w:r>
        <w:r w:rsidR="00EA4B30" w:rsidRPr="00BE5386">
          <w:rPr>
            <w:rFonts w:asciiTheme="minorHAnsi" w:eastAsiaTheme="minorEastAsia" w:hAnsiTheme="minorHAnsi" w:cstheme="minorBidi"/>
            <w:b/>
            <w:noProof/>
            <w:lang w:val="fr-FR" w:eastAsia="fr-FR"/>
          </w:rPr>
          <w:tab/>
        </w:r>
        <w:r w:rsidR="00EA4B30" w:rsidRPr="00BE5386">
          <w:rPr>
            <w:rStyle w:val="af5"/>
            <w:b/>
            <w:noProof/>
            <w:sz w:val="22"/>
            <w:szCs w:val="22"/>
            <w:lang w:eastAsia="ar-SA"/>
          </w:rPr>
          <w:t>Involvement of partners</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_Toc384648463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76</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64" w:history="1">
        <w:r w:rsidR="00EA4B30" w:rsidRPr="00EA4B30">
          <w:rPr>
            <w:rStyle w:val="af5"/>
            <w:noProof/>
            <w:sz w:val="22"/>
            <w:szCs w:val="22"/>
            <w:lang w:eastAsia="ar-SA"/>
          </w:rPr>
          <w:t>5.2.1.</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lang w:eastAsia="ar-SA"/>
          </w:rPr>
          <w:t xml:space="preserve">Role of the relevant partners in the preparation and implementation of </w:t>
        </w:r>
        <w:r w:rsidR="00BD09C5">
          <w:rPr>
            <w:rStyle w:val="af5"/>
            <w:noProof/>
            <w:sz w:val="22"/>
            <w:szCs w:val="22"/>
            <w:lang w:eastAsia="ar-SA"/>
          </w:rPr>
          <w:tab/>
        </w:r>
        <w:r w:rsidR="00EA4B30" w:rsidRPr="00EA4B30">
          <w:rPr>
            <w:rStyle w:val="af5"/>
            <w:noProof/>
            <w:sz w:val="22"/>
            <w:szCs w:val="22"/>
            <w:lang w:eastAsia="ar-SA"/>
          </w:rPr>
          <w:t>the cooperation programme</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_Toc384648464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76</w:t>
        </w:r>
        <w:r w:rsidR="00060EF2" w:rsidRPr="00B304B9">
          <w:rPr>
            <w:noProof/>
            <w:webHidden/>
            <w:sz w:val="20"/>
            <w:szCs w:val="20"/>
          </w:rPr>
          <w:fldChar w:fldCharType="end"/>
        </w:r>
      </w:hyperlink>
    </w:p>
    <w:p w:rsidR="00EA4B30" w:rsidRPr="00EA4B30" w:rsidRDefault="00FA25C5" w:rsidP="00BD09C5">
      <w:pPr>
        <w:pStyle w:val="11"/>
        <w:spacing w:after="60"/>
        <w:rPr>
          <w:rFonts w:asciiTheme="minorHAnsi" w:eastAsiaTheme="minorEastAsia" w:hAnsiTheme="minorHAnsi" w:cstheme="minorBidi"/>
          <w:lang w:val="fr-FR"/>
        </w:rPr>
      </w:pPr>
      <w:hyperlink w:anchor="_Toc384648465" w:history="1">
        <w:r w:rsidR="00EA4B30" w:rsidRPr="00EA4B30">
          <w:rPr>
            <w:rStyle w:val="af5"/>
            <w:sz w:val="22"/>
            <w:szCs w:val="22"/>
          </w:rPr>
          <w:t>Section 6. Coordination between funds</w:t>
        </w:r>
        <w:r w:rsidR="00EA4B30" w:rsidRPr="00EA4B30">
          <w:rPr>
            <w:webHidden/>
          </w:rPr>
          <w:tab/>
        </w:r>
        <w:r w:rsidR="00060EF2" w:rsidRPr="00B304B9">
          <w:rPr>
            <w:webHidden/>
            <w:sz w:val="22"/>
            <w:szCs w:val="22"/>
          </w:rPr>
          <w:fldChar w:fldCharType="begin"/>
        </w:r>
        <w:r w:rsidR="00EA4B30" w:rsidRPr="00B304B9">
          <w:rPr>
            <w:webHidden/>
            <w:sz w:val="22"/>
            <w:szCs w:val="22"/>
          </w:rPr>
          <w:instrText xml:space="preserve"> PAGEREF _Toc384648465 \h </w:instrText>
        </w:r>
        <w:r w:rsidR="00060EF2" w:rsidRPr="00B304B9">
          <w:rPr>
            <w:webHidden/>
            <w:sz w:val="22"/>
            <w:szCs w:val="22"/>
          </w:rPr>
        </w:r>
        <w:r w:rsidR="00060EF2" w:rsidRPr="00B304B9">
          <w:rPr>
            <w:webHidden/>
            <w:sz w:val="22"/>
            <w:szCs w:val="22"/>
          </w:rPr>
          <w:fldChar w:fldCharType="separate"/>
        </w:r>
        <w:r w:rsidR="00100D56">
          <w:rPr>
            <w:webHidden/>
            <w:sz w:val="22"/>
            <w:szCs w:val="22"/>
          </w:rPr>
          <w:t>81</w:t>
        </w:r>
        <w:r w:rsidR="00060EF2" w:rsidRPr="00B304B9">
          <w:rPr>
            <w:webHidden/>
            <w:sz w:val="22"/>
            <w:szCs w:val="22"/>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66" w:history="1">
        <w:r w:rsidR="00EA4B30" w:rsidRPr="00EA4B30">
          <w:rPr>
            <w:rStyle w:val="af5"/>
            <w:noProof/>
            <w:sz w:val="22"/>
            <w:szCs w:val="22"/>
          </w:rPr>
          <w:t>6.1.</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Coordin</w:t>
        </w:r>
        <w:r w:rsidR="00BD09C5">
          <w:rPr>
            <w:rStyle w:val="af5"/>
            <w:noProof/>
            <w:sz w:val="22"/>
            <w:szCs w:val="22"/>
          </w:rPr>
          <w:t>ation with mainstream program.</w:t>
        </w:r>
        <w:r w:rsidR="00EA4B30" w:rsidRPr="00EA4B30">
          <w:rPr>
            <w:rStyle w:val="af5"/>
            <w:noProof/>
            <w:sz w:val="22"/>
            <w:szCs w:val="22"/>
          </w:rPr>
          <w:t xml:space="preserve"> (ERDF, ESF, EAFRD, EMFF)</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_Toc384648466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81</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67" w:history="1">
        <w:r w:rsidR="00EA4B30" w:rsidRPr="00EA4B30">
          <w:rPr>
            <w:rStyle w:val="af5"/>
            <w:noProof/>
            <w:sz w:val="22"/>
            <w:szCs w:val="22"/>
          </w:rPr>
          <w:t>6.2.</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Coordination with other interregional cooperation program</w:t>
        </w:r>
        <w:r w:rsidR="00BD09C5">
          <w:rPr>
            <w:rStyle w:val="af5"/>
            <w:noProof/>
            <w:sz w:val="22"/>
            <w:szCs w:val="22"/>
          </w:rPr>
          <w:t>.</w:t>
        </w:r>
        <w:r w:rsidR="00EA4B30" w:rsidRPr="00EA4B30">
          <w:rPr>
            <w:rStyle w:val="af5"/>
            <w:noProof/>
            <w:sz w:val="22"/>
            <w:szCs w:val="22"/>
          </w:rPr>
          <w:t xml:space="preserve"> of the ETC </w:t>
        </w:r>
        <w:r w:rsidR="00BD09C5">
          <w:rPr>
            <w:rStyle w:val="af5"/>
            <w:noProof/>
            <w:sz w:val="22"/>
            <w:szCs w:val="22"/>
          </w:rPr>
          <w:tab/>
        </w:r>
        <w:r w:rsidR="00EA4B30" w:rsidRPr="00EA4B30">
          <w:rPr>
            <w:rStyle w:val="af5"/>
            <w:noProof/>
            <w:sz w:val="22"/>
            <w:szCs w:val="22"/>
          </w:rPr>
          <w:t>goal</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_Toc384648467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82</w:t>
        </w:r>
        <w:r w:rsidR="00060EF2" w:rsidRPr="00B304B9">
          <w:rPr>
            <w:noProof/>
            <w:webHidden/>
            <w:sz w:val="20"/>
            <w:szCs w:val="20"/>
          </w:rPr>
          <w:fldChar w:fldCharType="end"/>
        </w:r>
      </w:hyperlink>
    </w:p>
    <w:p w:rsidR="00EA4B30" w:rsidRPr="00EA4B30" w:rsidRDefault="00FA25C5" w:rsidP="00BD09C5">
      <w:pPr>
        <w:pStyle w:val="11"/>
        <w:spacing w:after="60"/>
        <w:rPr>
          <w:rFonts w:asciiTheme="minorHAnsi" w:eastAsiaTheme="minorEastAsia" w:hAnsiTheme="minorHAnsi" w:cstheme="minorBidi"/>
          <w:lang w:val="fr-FR"/>
        </w:rPr>
      </w:pPr>
      <w:hyperlink w:anchor="_Toc384648468" w:history="1">
        <w:r w:rsidR="00EA4B30" w:rsidRPr="00EA4B30">
          <w:rPr>
            <w:rStyle w:val="af5"/>
            <w:sz w:val="22"/>
            <w:szCs w:val="22"/>
          </w:rPr>
          <w:t>Section 7. Reduction of administrative burden for beneficiaries</w:t>
        </w:r>
        <w:r w:rsidR="00EA4B30" w:rsidRPr="00EA4B30">
          <w:rPr>
            <w:webHidden/>
          </w:rPr>
          <w:tab/>
        </w:r>
        <w:r w:rsidR="00060EF2" w:rsidRPr="00B304B9">
          <w:rPr>
            <w:webHidden/>
            <w:sz w:val="22"/>
            <w:szCs w:val="22"/>
          </w:rPr>
          <w:fldChar w:fldCharType="begin"/>
        </w:r>
        <w:r w:rsidR="00EA4B30" w:rsidRPr="00B304B9">
          <w:rPr>
            <w:webHidden/>
            <w:sz w:val="22"/>
            <w:szCs w:val="22"/>
          </w:rPr>
          <w:instrText xml:space="preserve"> PAGEREF _Toc384648468 \h </w:instrText>
        </w:r>
        <w:r w:rsidR="00060EF2" w:rsidRPr="00B304B9">
          <w:rPr>
            <w:webHidden/>
            <w:sz w:val="22"/>
            <w:szCs w:val="22"/>
          </w:rPr>
        </w:r>
        <w:r w:rsidR="00060EF2" w:rsidRPr="00B304B9">
          <w:rPr>
            <w:webHidden/>
            <w:sz w:val="22"/>
            <w:szCs w:val="22"/>
          </w:rPr>
          <w:fldChar w:fldCharType="separate"/>
        </w:r>
        <w:r w:rsidR="00100D56">
          <w:rPr>
            <w:webHidden/>
            <w:sz w:val="22"/>
            <w:szCs w:val="22"/>
          </w:rPr>
          <w:t>84</w:t>
        </w:r>
        <w:r w:rsidR="00060EF2" w:rsidRPr="00B304B9">
          <w:rPr>
            <w:webHidden/>
            <w:sz w:val="22"/>
            <w:szCs w:val="22"/>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69" w:history="1">
        <w:r w:rsidR="00EA4B30" w:rsidRPr="00EA4B30">
          <w:rPr>
            <w:rStyle w:val="af5"/>
            <w:noProof/>
            <w:sz w:val="22"/>
            <w:szCs w:val="22"/>
          </w:rPr>
          <w:t>7.1.1.</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Assessment of the administrative burden of beneficiaries</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_Toc384648469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84</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70" w:history="1">
        <w:r w:rsidR="00EA4B30" w:rsidRPr="00EA4B30">
          <w:rPr>
            <w:rStyle w:val="af5"/>
            <w:noProof/>
            <w:sz w:val="22"/>
            <w:szCs w:val="22"/>
          </w:rPr>
          <w:t>7.1.2.</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Main actions planned to reduce the administ</w:t>
        </w:r>
        <w:r w:rsidR="00BD09C5">
          <w:rPr>
            <w:rStyle w:val="af5"/>
            <w:noProof/>
            <w:sz w:val="22"/>
            <w:szCs w:val="22"/>
          </w:rPr>
          <w:t xml:space="preserve">. </w:t>
        </w:r>
        <w:r w:rsidR="00EA4B30" w:rsidRPr="00EA4B30">
          <w:rPr>
            <w:rStyle w:val="af5"/>
            <w:noProof/>
            <w:sz w:val="22"/>
            <w:szCs w:val="22"/>
          </w:rPr>
          <w:t>burden of URBACT III</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_Toc384648470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84</w:t>
        </w:r>
        <w:r w:rsidR="00060EF2" w:rsidRPr="00B304B9">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71" w:history="1">
        <w:r w:rsidR="00EA4B30" w:rsidRPr="00EA4B30">
          <w:rPr>
            <w:rStyle w:val="af5"/>
            <w:noProof/>
            <w:sz w:val="22"/>
            <w:szCs w:val="22"/>
          </w:rPr>
          <w:t>7.1.3.</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E-Cohesion</w:t>
        </w:r>
        <w:r w:rsidR="00EA4B30" w:rsidRPr="00EA4B30">
          <w:rPr>
            <w:noProof/>
            <w:webHidden/>
          </w:rPr>
          <w:tab/>
        </w:r>
        <w:r w:rsidR="00060EF2" w:rsidRPr="00B304B9">
          <w:rPr>
            <w:noProof/>
            <w:webHidden/>
            <w:sz w:val="20"/>
            <w:szCs w:val="20"/>
          </w:rPr>
          <w:fldChar w:fldCharType="begin"/>
        </w:r>
        <w:r w:rsidR="00EA4B30" w:rsidRPr="00B304B9">
          <w:rPr>
            <w:noProof/>
            <w:webHidden/>
            <w:sz w:val="20"/>
            <w:szCs w:val="20"/>
          </w:rPr>
          <w:instrText xml:space="preserve"> PAGEREF _Toc384648471 \h </w:instrText>
        </w:r>
        <w:r w:rsidR="00060EF2" w:rsidRPr="00B304B9">
          <w:rPr>
            <w:noProof/>
            <w:webHidden/>
            <w:sz w:val="20"/>
            <w:szCs w:val="20"/>
          </w:rPr>
        </w:r>
        <w:r w:rsidR="00060EF2" w:rsidRPr="00B304B9">
          <w:rPr>
            <w:noProof/>
            <w:webHidden/>
            <w:sz w:val="20"/>
            <w:szCs w:val="20"/>
          </w:rPr>
          <w:fldChar w:fldCharType="separate"/>
        </w:r>
        <w:r w:rsidR="00100D56">
          <w:rPr>
            <w:noProof/>
            <w:webHidden/>
            <w:sz w:val="20"/>
            <w:szCs w:val="20"/>
          </w:rPr>
          <w:t>86</w:t>
        </w:r>
        <w:r w:rsidR="00060EF2" w:rsidRPr="00B304B9">
          <w:rPr>
            <w:noProof/>
            <w:webHidden/>
            <w:sz w:val="20"/>
            <w:szCs w:val="20"/>
          </w:rPr>
          <w:fldChar w:fldCharType="end"/>
        </w:r>
      </w:hyperlink>
    </w:p>
    <w:p w:rsidR="00EA4B30" w:rsidRPr="00EA4B30" w:rsidRDefault="00FA25C5" w:rsidP="00BD09C5">
      <w:pPr>
        <w:pStyle w:val="11"/>
        <w:spacing w:after="60"/>
        <w:rPr>
          <w:rFonts w:asciiTheme="minorHAnsi" w:eastAsiaTheme="minorEastAsia" w:hAnsiTheme="minorHAnsi" w:cstheme="minorBidi"/>
          <w:lang w:val="fr-FR"/>
        </w:rPr>
      </w:pPr>
      <w:hyperlink w:anchor="_Toc384648472" w:history="1">
        <w:r w:rsidR="00EA4B30" w:rsidRPr="00EA4B30">
          <w:rPr>
            <w:rStyle w:val="af5"/>
            <w:sz w:val="22"/>
            <w:szCs w:val="22"/>
          </w:rPr>
          <w:t>Section 8 Horizontal Principles</w:t>
        </w:r>
        <w:r w:rsidR="00EA4B30" w:rsidRPr="00EA4B30">
          <w:rPr>
            <w:webHidden/>
          </w:rPr>
          <w:tab/>
        </w:r>
        <w:r w:rsidR="00060EF2" w:rsidRPr="00B304B9">
          <w:rPr>
            <w:webHidden/>
            <w:sz w:val="22"/>
            <w:szCs w:val="22"/>
          </w:rPr>
          <w:fldChar w:fldCharType="begin"/>
        </w:r>
        <w:r w:rsidR="00EA4B30" w:rsidRPr="00B304B9">
          <w:rPr>
            <w:webHidden/>
            <w:sz w:val="22"/>
            <w:szCs w:val="22"/>
          </w:rPr>
          <w:instrText xml:space="preserve"> PAGEREF _Toc384648472 \h </w:instrText>
        </w:r>
        <w:r w:rsidR="00060EF2" w:rsidRPr="00B304B9">
          <w:rPr>
            <w:webHidden/>
            <w:sz w:val="22"/>
            <w:szCs w:val="22"/>
          </w:rPr>
        </w:r>
        <w:r w:rsidR="00060EF2" w:rsidRPr="00B304B9">
          <w:rPr>
            <w:webHidden/>
            <w:sz w:val="22"/>
            <w:szCs w:val="22"/>
          </w:rPr>
          <w:fldChar w:fldCharType="separate"/>
        </w:r>
        <w:r w:rsidR="00100D56">
          <w:rPr>
            <w:webHidden/>
            <w:sz w:val="22"/>
            <w:szCs w:val="22"/>
          </w:rPr>
          <w:t>89</w:t>
        </w:r>
        <w:r w:rsidR="00060EF2" w:rsidRPr="00B304B9">
          <w:rPr>
            <w:webHidden/>
            <w:sz w:val="22"/>
            <w:szCs w:val="22"/>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73" w:history="1">
        <w:r w:rsidR="00EA4B30" w:rsidRPr="00EA4B30">
          <w:rPr>
            <w:rStyle w:val="af5"/>
            <w:noProof/>
            <w:sz w:val="22"/>
            <w:szCs w:val="22"/>
          </w:rPr>
          <w:t>8.1.</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Sustainable Development</w:t>
        </w:r>
        <w:r w:rsidR="00EA4B30" w:rsidRPr="00EA4B30">
          <w:rPr>
            <w:noProof/>
            <w:webHidden/>
          </w:rPr>
          <w:tab/>
        </w:r>
        <w:r w:rsidR="00060EF2" w:rsidRPr="00D20D5C">
          <w:rPr>
            <w:noProof/>
            <w:webHidden/>
            <w:sz w:val="20"/>
            <w:szCs w:val="20"/>
          </w:rPr>
          <w:fldChar w:fldCharType="begin"/>
        </w:r>
        <w:r w:rsidR="00EA4B30" w:rsidRPr="00D20D5C">
          <w:rPr>
            <w:noProof/>
            <w:webHidden/>
            <w:sz w:val="20"/>
            <w:szCs w:val="20"/>
          </w:rPr>
          <w:instrText xml:space="preserve"> PAGEREF _Toc384648473 \h </w:instrText>
        </w:r>
        <w:r w:rsidR="00060EF2" w:rsidRPr="00D20D5C">
          <w:rPr>
            <w:noProof/>
            <w:webHidden/>
            <w:sz w:val="20"/>
            <w:szCs w:val="20"/>
          </w:rPr>
        </w:r>
        <w:r w:rsidR="00060EF2" w:rsidRPr="00D20D5C">
          <w:rPr>
            <w:noProof/>
            <w:webHidden/>
            <w:sz w:val="20"/>
            <w:szCs w:val="20"/>
          </w:rPr>
          <w:fldChar w:fldCharType="separate"/>
        </w:r>
        <w:r w:rsidR="00100D56">
          <w:rPr>
            <w:noProof/>
            <w:webHidden/>
            <w:sz w:val="20"/>
            <w:szCs w:val="20"/>
          </w:rPr>
          <w:t>89</w:t>
        </w:r>
        <w:r w:rsidR="00060EF2" w:rsidRPr="00D20D5C">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74" w:history="1">
        <w:r w:rsidR="00EA4B30" w:rsidRPr="00EA4B30">
          <w:rPr>
            <w:rStyle w:val="af5"/>
            <w:noProof/>
            <w:sz w:val="22"/>
            <w:szCs w:val="22"/>
          </w:rPr>
          <w:t>8.2.</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Equal opportunities and non-discrimination</w:t>
        </w:r>
        <w:r w:rsidR="00EA4B30" w:rsidRPr="00EA4B30">
          <w:rPr>
            <w:noProof/>
            <w:webHidden/>
          </w:rPr>
          <w:tab/>
        </w:r>
        <w:r w:rsidR="00060EF2" w:rsidRPr="00D20D5C">
          <w:rPr>
            <w:noProof/>
            <w:webHidden/>
            <w:sz w:val="20"/>
            <w:szCs w:val="20"/>
          </w:rPr>
          <w:fldChar w:fldCharType="begin"/>
        </w:r>
        <w:r w:rsidR="00EA4B30" w:rsidRPr="00D20D5C">
          <w:rPr>
            <w:noProof/>
            <w:webHidden/>
            <w:sz w:val="20"/>
            <w:szCs w:val="20"/>
          </w:rPr>
          <w:instrText xml:space="preserve"> PAGEREF _Toc384648474 \h </w:instrText>
        </w:r>
        <w:r w:rsidR="00060EF2" w:rsidRPr="00D20D5C">
          <w:rPr>
            <w:noProof/>
            <w:webHidden/>
            <w:sz w:val="20"/>
            <w:szCs w:val="20"/>
          </w:rPr>
        </w:r>
        <w:r w:rsidR="00060EF2" w:rsidRPr="00D20D5C">
          <w:rPr>
            <w:noProof/>
            <w:webHidden/>
            <w:sz w:val="20"/>
            <w:szCs w:val="20"/>
          </w:rPr>
          <w:fldChar w:fldCharType="separate"/>
        </w:r>
        <w:r w:rsidR="00100D56">
          <w:rPr>
            <w:noProof/>
            <w:webHidden/>
            <w:sz w:val="20"/>
            <w:szCs w:val="20"/>
          </w:rPr>
          <w:t>89</w:t>
        </w:r>
        <w:r w:rsidR="00060EF2" w:rsidRPr="00D20D5C">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75" w:history="1">
        <w:r w:rsidR="00EA4B30" w:rsidRPr="00EA4B30">
          <w:rPr>
            <w:rStyle w:val="af5"/>
            <w:noProof/>
            <w:sz w:val="22"/>
            <w:szCs w:val="22"/>
          </w:rPr>
          <w:t>8.3.</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Equality between men and women</w:t>
        </w:r>
        <w:r w:rsidR="00EA4B30" w:rsidRPr="00EA4B30">
          <w:rPr>
            <w:noProof/>
            <w:webHidden/>
          </w:rPr>
          <w:tab/>
        </w:r>
        <w:r w:rsidR="00060EF2" w:rsidRPr="00D20D5C">
          <w:rPr>
            <w:noProof/>
            <w:webHidden/>
            <w:sz w:val="20"/>
            <w:szCs w:val="20"/>
          </w:rPr>
          <w:fldChar w:fldCharType="begin"/>
        </w:r>
        <w:r w:rsidR="00EA4B30" w:rsidRPr="00D20D5C">
          <w:rPr>
            <w:noProof/>
            <w:webHidden/>
            <w:sz w:val="20"/>
            <w:szCs w:val="20"/>
          </w:rPr>
          <w:instrText xml:space="preserve"> PAGEREF _Toc384648475 \h </w:instrText>
        </w:r>
        <w:r w:rsidR="00060EF2" w:rsidRPr="00D20D5C">
          <w:rPr>
            <w:noProof/>
            <w:webHidden/>
            <w:sz w:val="20"/>
            <w:szCs w:val="20"/>
          </w:rPr>
        </w:r>
        <w:r w:rsidR="00060EF2" w:rsidRPr="00D20D5C">
          <w:rPr>
            <w:noProof/>
            <w:webHidden/>
            <w:sz w:val="20"/>
            <w:szCs w:val="20"/>
          </w:rPr>
          <w:fldChar w:fldCharType="separate"/>
        </w:r>
        <w:r w:rsidR="00100D56">
          <w:rPr>
            <w:noProof/>
            <w:webHidden/>
            <w:sz w:val="20"/>
            <w:szCs w:val="20"/>
          </w:rPr>
          <w:t>89</w:t>
        </w:r>
        <w:r w:rsidR="00060EF2" w:rsidRPr="00D20D5C">
          <w:rPr>
            <w:noProof/>
            <w:webHidden/>
            <w:sz w:val="20"/>
            <w:szCs w:val="20"/>
          </w:rPr>
          <w:fldChar w:fldCharType="end"/>
        </w:r>
      </w:hyperlink>
    </w:p>
    <w:p w:rsidR="00EA4B30" w:rsidRPr="00EA4B30" w:rsidRDefault="00FA25C5" w:rsidP="00BD09C5">
      <w:pPr>
        <w:pStyle w:val="11"/>
        <w:spacing w:after="60"/>
        <w:rPr>
          <w:rFonts w:asciiTheme="minorHAnsi" w:eastAsiaTheme="minorEastAsia" w:hAnsiTheme="minorHAnsi" w:cstheme="minorBidi"/>
          <w:lang w:val="fr-FR"/>
        </w:rPr>
      </w:pPr>
      <w:hyperlink w:anchor="_Toc384648476" w:history="1">
        <w:r w:rsidR="00EA4B30" w:rsidRPr="00EA4B30">
          <w:rPr>
            <w:rStyle w:val="af5"/>
            <w:sz w:val="22"/>
            <w:szCs w:val="22"/>
          </w:rPr>
          <w:t>Section 9. Separate Elements</w:t>
        </w:r>
        <w:r w:rsidR="00EA4B30" w:rsidRPr="00EA4B30">
          <w:rPr>
            <w:webHidden/>
          </w:rPr>
          <w:tab/>
        </w:r>
        <w:r w:rsidR="00060EF2" w:rsidRPr="00D20D5C">
          <w:rPr>
            <w:webHidden/>
            <w:sz w:val="22"/>
            <w:szCs w:val="22"/>
          </w:rPr>
          <w:fldChar w:fldCharType="begin"/>
        </w:r>
        <w:r w:rsidR="00EA4B30" w:rsidRPr="00D20D5C">
          <w:rPr>
            <w:webHidden/>
            <w:sz w:val="22"/>
            <w:szCs w:val="22"/>
          </w:rPr>
          <w:instrText xml:space="preserve"> PAGEREF _Toc384648476 \h </w:instrText>
        </w:r>
        <w:r w:rsidR="00060EF2" w:rsidRPr="00D20D5C">
          <w:rPr>
            <w:webHidden/>
            <w:sz w:val="22"/>
            <w:szCs w:val="22"/>
          </w:rPr>
        </w:r>
        <w:r w:rsidR="00060EF2" w:rsidRPr="00D20D5C">
          <w:rPr>
            <w:webHidden/>
            <w:sz w:val="22"/>
            <w:szCs w:val="22"/>
          </w:rPr>
          <w:fldChar w:fldCharType="separate"/>
        </w:r>
        <w:r w:rsidR="00100D56">
          <w:rPr>
            <w:webHidden/>
            <w:sz w:val="22"/>
            <w:szCs w:val="22"/>
          </w:rPr>
          <w:t>92</w:t>
        </w:r>
        <w:r w:rsidR="00060EF2" w:rsidRPr="00D20D5C">
          <w:rPr>
            <w:webHidden/>
            <w:sz w:val="22"/>
            <w:szCs w:val="22"/>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77" w:history="1">
        <w:r w:rsidR="00EA4B30" w:rsidRPr="00EA4B30">
          <w:rPr>
            <w:rStyle w:val="af5"/>
            <w:noProof/>
            <w:sz w:val="22"/>
            <w:szCs w:val="22"/>
          </w:rPr>
          <w:t>9.1.</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 xml:space="preserve">A list of major projects for which the implementation is planned during </w:t>
        </w:r>
        <w:r w:rsidR="00214CB5">
          <w:rPr>
            <w:rStyle w:val="af5"/>
            <w:noProof/>
            <w:sz w:val="22"/>
            <w:szCs w:val="22"/>
          </w:rPr>
          <w:tab/>
        </w:r>
        <w:r w:rsidR="00214CB5">
          <w:rPr>
            <w:rStyle w:val="af5"/>
            <w:noProof/>
            <w:sz w:val="22"/>
            <w:szCs w:val="22"/>
          </w:rPr>
          <w:tab/>
        </w:r>
        <w:r w:rsidR="00EA4B30" w:rsidRPr="00EA4B30">
          <w:rPr>
            <w:rStyle w:val="af5"/>
            <w:noProof/>
            <w:sz w:val="22"/>
            <w:szCs w:val="22"/>
          </w:rPr>
          <w:t>the programming period</w:t>
        </w:r>
        <w:r w:rsidR="00EA4B30" w:rsidRPr="00EA4B30">
          <w:rPr>
            <w:noProof/>
            <w:webHidden/>
          </w:rPr>
          <w:tab/>
        </w:r>
        <w:r w:rsidR="00060EF2" w:rsidRPr="00D20D5C">
          <w:rPr>
            <w:noProof/>
            <w:webHidden/>
            <w:sz w:val="20"/>
            <w:szCs w:val="20"/>
          </w:rPr>
          <w:fldChar w:fldCharType="begin"/>
        </w:r>
        <w:r w:rsidR="00EA4B30" w:rsidRPr="00D20D5C">
          <w:rPr>
            <w:noProof/>
            <w:webHidden/>
            <w:sz w:val="20"/>
            <w:szCs w:val="20"/>
          </w:rPr>
          <w:instrText xml:space="preserve"> PAGEREF _Toc384648477 \h </w:instrText>
        </w:r>
        <w:r w:rsidR="00060EF2" w:rsidRPr="00D20D5C">
          <w:rPr>
            <w:noProof/>
            <w:webHidden/>
            <w:sz w:val="20"/>
            <w:szCs w:val="20"/>
          </w:rPr>
        </w:r>
        <w:r w:rsidR="00060EF2" w:rsidRPr="00D20D5C">
          <w:rPr>
            <w:noProof/>
            <w:webHidden/>
            <w:sz w:val="20"/>
            <w:szCs w:val="20"/>
          </w:rPr>
          <w:fldChar w:fldCharType="separate"/>
        </w:r>
        <w:r w:rsidR="00100D56">
          <w:rPr>
            <w:noProof/>
            <w:webHidden/>
            <w:sz w:val="20"/>
            <w:szCs w:val="20"/>
          </w:rPr>
          <w:t>92</w:t>
        </w:r>
        <w:r w:rsidR="00060EF2" w:rsidRPr="00D20D5C">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79" w:history="1">
        <w:r w:rsidR="00EA4B30" w:rsidRPr="00EA4B30">
          <w:rPr>
            <w:rStyle w:val="af5"/>
            <w:noProof/>
            <w:sz w:val="22"/>
            <w:szCs w:val="22"/>
            <w:lang w:eastAsia="ar-SA"/>
          </w:rPr>
          <w:t>9.2.</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lang w:eastAsia="ar-SA"/>
          </w:rPr>
          <w:t>The performance framework of the cooperation programme</w:t>
        </w:r>
        <w:r w:rsidR="00EA4B30" w:rsidRPr="00EA4B30">
          <w:rPr>
            <w:noProof/>
            <w:webHidden/>
          </w:rPr>
          <w:tab/>
        </w:r>
        <w:r w:rsidR="00060EF2" w:rsidRPr="00D20D5C">
          <w:rPr>
            <w:noProof/>
            <w:webHidden/>
            <w:sz w:val="20"/>
            <w:szCs w:val="20"/>
          </w:rPr>
          <w:fldChar w:fldCharType="begin"/>
        </w:r>
        <w:r w:rsidR="00EA4B30" w:rsidRPr="00D20D5C">
          <w:rPr>
            <w:noProof/>
            <w:webHidden/>
            <w:sz w:val="20"/>
            <w:szCs w:val="20"/>
          </w:rPr>
          <w:instrText xml:space="preserve"> PAGEREF _Toc384648479 \h </w:instrText>
        </w:r>
        <w:r w:rsidR="00060EF2" w:rsidRPr="00D20D5C">
          <w:rPr>
            <w:noProof/>
            <w:webHidden/>
            <w:sz w:val="20"/>
            <w:szCs w:val="20"/>
          </w:rPr>
        </w:r>
        <w:r w:rsidR="00060EF2" w:rsidRPr="00D20D5C">
          <w:rPr>
            <w:noProof/>
            <w:webHidden/>
            <w:sz w:val="20"/>
            <w:szCs w:val="20"/>
          </w:rPr>
          <w:fldChar w:fldCharType="separate"/>
        </w:r>
        <w:r w:rsidR="00100D56">
          <w:rPr>
            <w:noProof/>
            <w:webHidden/>
            <w:sz w:val="20"/>
            <w:szCs w:val="20"/>
          </w:rPr>
          <w:t>92</w:t>
        </w:r>
        <w:r w:rsidR="00060EF2" w:rsidRPr="00D20D5C">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80" w:history="1">
        <w:r w:rsidR="00EA4B30" w:rsidRPr="00EA4B30">
          <w:rPr>
            <w:rStyle w:val="af5"/>
            <w:noProof/>
            <w:sz w:val="22"/>
            <w:szCs w:val="22"/>
          </w:rPr>
          <w:t>9.3.</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 xml:space="preserve">List of relevant partners involved in the preparation of the cooperation </w:t>
        </w:r>
        <w:r w:rsidR="00214CB5">
          <w:rPr>
            <w:rStyle w:val="af5"/>
            <w:noProof/>
            <w:sz w:val="22"/>
            <w:szCs w:val="22"/>
          </w:rPr>
          <w:tab/>
        </w:r>
        <w:r w:rsidR="00EA4B30" w:rsidRPr="00EA4B30">
          <w:rPr>
            <w:rStyle w:val="af5"/>
            <w:noProof/>
            <w:sz w:val="22"/>
            <w:szCs w:val="22"/>
          </w:rPr>
          <w:t>programme</w:t>
        </w:r>
        <w:r w:rsidR="00EA4B30" w:rsidRPr="00EA4B30">
          <w:rPr>
            <w:noProof/>
            <w:webHidden/>
          </w:rPr>
          <w:tab/>
        </w:r>
        <w:r w:rsidR="00060EF2" w:rsidRPr="00D20D5C">
          <w:rPr>
            <w:noProof/>
            <w:webHidden/>
            <w:sz w:val="20"/>
            <w:szCs w:val="20"/>
          </w:rPr>
          <w:fldChar w:fldCharType="begin"/>
        </w:r>
        <w:r w:rsidR="00EA4B30" w:rsidRPr="00D20D5C">
          <w:rPr>
            <w:noProof/>
            <w:webHidden/>
            <w:sz w:val="20"/>
            <w:szCs w:val="20"/>
          </w:rPr>
          <w:instrText xml:space="preserve"> PAGEREF _Toc384648480 \h </w:instrText>
        </w:r>
        <w:r w:rsidR="00060EF2" w:rsidRPr="00D20D5C">
          <w:rPr>
            <w:noProof/>
            <w:webHidden/>
            <w:sz w:val="20"/>
            <w:szCs w:val="20"/>
          </w:rPr>
        </w:r>
        <w:r w:rsidR="00060EF2" w:rsidRPr="00D20D5C">
          <w:rPr>
            <w:noProof/>
            <w:webHidden/>
            <w:sz w:val="20"/>
            <w:szCs w:val="20"/>
          </w:rPr>
          <w:fldChar w:fldCharType="separate"/>
        </w:r>
        <w:r w:rsidR="00100D56">
          <w:rPr>
            <w:noProof/>
            <w:webHidden/>
            <w:sz w:val="20"/>
            <w:szCs w:val="20"/>
          </w:rPr>
          <w:t>93</w:t>
        </w:r>
        <w:r w:rsidR="00060EF2" w:rsidRPr="00D20D5C">
          <w:rPr>
            <w:noProof/>
            <w:webHidden/>
            <w:sz w:val="20"/>
            <w:szCs w:val="20"/>
          </w:rPr>
          <w:fldChar w:fldCharType="end"/>
        </w:r>
      </w:hyperlink>
    </w:p>
    <w:p w:rsidR="00EA4B30" w:rsidRDefault="00FA25C5" w:rsidP="00BD09C5">
      <w:pPr>
        <w:pStyle w:val="21"/>
        <w:spacing w:after="60"/>
        <w:rPr>
          <w:rStyle w:val="af5"/>
          <w:noProof/>
          <w:sz w:val="22"/>
          <w:szCs w:val="22"/>
        </w:rPr>
      </w:pPr>
      <w:hyperlink w:anchor="_Toc384648481" w:history="1">
        <w:r w:rsidR="00EA4B30" w:rsidRPr="00EA4B30">
          <w:rPr>
            <w:rStyle w:val="af5"/>
            <w:noProof/>
            <w:sz w:val="22"/>
            <w:szCs w:val="22"/>
          </w:rPr>
          <w:t>9.4.</w:t>
        </w:r>
        <w:r w:rsidR="00EA4B30" w:rsidRPr="00EA4B30">
          <w:rPr>
            <w:rFonts w:asciiTheme="minorHAnsi" w:eastAsiaTheme="minorEastAsia" w:hAnsiTheme="minorHAnsi" w:cstheme="minorBidi"/>
            <w:noProof/>
            <w:lang w:val="fr-FR" w:eastAsia="fr-FR"/>
          </w:rPr>
          <w:tab/>
        </w:r>
        <w:r w:rsidR="00EA4B30" w:rsidRPr="00EA4B30">
          <w:rPr>
            <w:rStyle w:val="af5"/>
            <w:noProof/>
            <w:sz w:val="22"/>
            <w:szCs w:val="22"/>
          </w:rPr>
          <w:t xml:space="preserve">Applicable programme implementation conditions governing for the </w:t>
        </w:r>
        <w:r w:rsidR="00214CB5">
          <w:rPr>
            <w:rStyle w:val="af5"/>
            <w:noProof/>
            <w:sz w:val="22"/>
            <w:szCs w:val="22"/>
          </w:rPr>
          <w:tab/>
        </w:r>
        <w:r w:rsidR="00EA4B30" w:rsidRPr="00EA4B30">
          <w:rPr>
            <w:rStyle w:val="af5"/>
            <w:noProof/>
            <w:sz w:val="22"/>
            <w:szCs w:val="22"/>
          </w:rPr>
          <w:t xml:space="preserve">participation of third countries through a contribution of ENI and IPA </w:t>
        </w:r>
        <w:r w:rsidR="00214CB5">
          <w:rPr>
            <w:rStyle w:val="af5"/>
            <w:noProof/>
            <w:sz w:val="22"/>
            <w:szCs w:val="22"/>
          </w:rPr>
          <w:tab/>
        </w:r>
        <w:r w:rsidR="00EA4B30" w:rsidRPr="00EA4B30">
          <w:rPr>
            <w:rStyle w:val="af5"/>
            <w:noProof/>
            <w:sz w:val="22"/>
            <w:szCs w:val="22"/>
          </w:rPr>
          <w:t>resources</w:t>
        </w:r>
        <w:r w:rsidR="00EA4B30" w:rsidRPr="00EA4B30">
          <w:rPr>
            <w:noProof/>
            <w:webHidden/>
          </w:rPr>
          <w:tab/>
        </w:r>
        <w:r w:rsidR="00060EF2" w:rsidRPr="00D20D5C">
          <w:rPr>
            <w:noProof/>
            <w:webHidden/>
            <w:sz w:val="20"/>
            <w:szCs w:val="20"/>
          </w:rPr>
          <w:fldChar w:fldCharType="begin"/>
        </w:r>
        <w:r w:rsidR="00EA4B30" w:rsidRPr="00D20D5C">
          <w:rPr>
            <w:noProof/>
            <w:webHidden/>
            <w:sz w:val="20"/>
            <w:szCs w:val="20"/>
          </w:rPr>
          <w:instrText xml:space="preserve"> PAGEREF _Toc384648481 \h </w:instrText>
        </w:r>
        <w:r w:rsidR="00060EF2" w:rsidRPr="00D20D5C">
          <w:rPr>
            <w:noProof/>
            <w:webHidden/>
            <w:sz w:val="20"/>
            <w:szCs w:val="20"/>
          </w:rPr>
        </w:r>
        <w:r w:rsidR="00060EF2" w:rsidRPr="00D20D5C">
          <w:rPr>
            <w:noProof/>
            <w:webHidden/>
            <w:sz w:val="20"/>
            <w:szCs w:val="20"/>
          </w:rPr>
          <w:fldChar w:fldCharType="separate"/>
        </w:r>
        <w:r w:rsidR="00100D56">
          <w:rPr>
            <w:noProof/>
            <w:webHidden/>
            <w:sz w:val="20"/>
            <w:szCs w:val="20"/>
          </w:rPr>
          <w:t>93</w:t>
        </w:r>
        <w:r w:rsidR="00060EF2" w:rsidRPr="00D20D5C">
          <w:rPr>
            <w:noProof/>
            <w:webHidden/>
            <w:sz w:val="20"/>
            <w:szCs w:val="20"/>
          </w:rPr>
          <w:fldChar w:fldCharType="end"/>
        </w:r>
      </w:hyperlink>
    </w:p>
    <w:p w:rsidR="00214CB5" w:rsidRPr="00214CB5" w:rsidRDefault="00214CB5" w:rsidP="00BD09C5">
      <w:pPr>
        <w:spacing w:after="60"/>
        <w:rPr>
          <w:rFonts w:eastAsiaTheme="minorEastAsia"/>
          <w:noProof/>
          <w:lang w:eastAsia="de-DE"/>
        </w:rPr>
      </w:pPr>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82" w:history="1">
        <w:r w:rsidR="00EA4B30" w:rsidRPr="00EA4B30">
          <w:rPr>
            <w:rStyle w:val="af5"/>
            <w:noProof/>
            <w:sz w:val="22"/>
            <w:szCs w:val="22"/>
            <w:lang w:val="fr-FR"/>
          </w:rPr>
          <w:t>ANNEXE 1 Ex-Ante Evaluation Report</w:t>
        </w:r>
        <w:r w:rsidR="00EA4B30" w:rsidRPr="00EA4B30">
          <w:rPr>
            <w:noProof/>
            <w:webHidden/>
          </w:rPr>
          <w:tab/>
        </w:r>
        <w:r w:rsidR="00060EF2" w:rsidRPr="00D20D5C">
          <w:rPr>
            <w:noProof/>
            <w:webHidden/>
            <w:sz w:val="20"/>
            <w:szCs w:val="20"/>
          </w:rPr>
          <w:fldChar w:fldCharType="begin"/>
        </w:r>
        <w:r w:rsidR="00EA4B30" w:rsidRPr="00D20D5C">
          <w:rPr>
            <w:noProof/>
            <w:webHidden/>
            <w:sz w:val="20"/>
            <w:szCs w:val="20"/>
          </w:rPr>
          <w:instrText xml:space="preserve"> PAGEREF _Toc384648482 \h </w:instrText>
        </w:r>
        <w:r w:rsidR="00060EF2" w:rsidRPr="00D20D5C">
          <w:rPr>
            <w:noProof/>
            <w:webHidden/>
            <w:sz w:val="20"/>
            <w:szCs w:val="20"/>
          </w:rPr>
        </w:r>
        <w:r w:rsidR="00060EF2" w:rsidRPr="00D20D5C">
          <w:rPr>
            <w:noProof/>
            <w:webHidden/>
            <w:sz w:val="20"/>
            <w:szCs w:val="20"/>
          </w:rPr>
          <w:fldChar w:fldCharType="separate"/>
        </w:r>
        <w:r w:rsidR="00100D56">
          <w:rPr>
            <w:noProof/>
            <w:webHidden/>
            <w:sz w:val="20"/>
            <w:szCs w:val="20"/>
          </w:rPr>
          <w:t>95</w:t>
        </w:r>
        <w:r w:rsidR="00060EF2" w:rsidRPr="00D20D5C">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83" w:history="1">
        <w:r w:rsidR="00EA4B30" w:rsidRPr="00EA4B30">
          <w:rPr>
            <w:rStyle w:val="af5"/>
            <w:noProof/>
            <w:sz w:val="22"/>
            <w:szCs w:val="22"/>
          </w:rPr>
          <w:t>ANNEXE 2 Member and Partner States Agreement</w:t>
        </w:r>
        <w:r w:rsidR="00EA4B30" w:rsidRPr="00EA4B30">
          <w:rPr>
            <w:noProof/>
            <w:webHidden/>
          </w:rPr>
          <w:tab/>
        </w:r>
        <w:r w:rsidR="00060EF2" w:rsidRPr="00D20D5C">
          <w:rPr>
            <w:noProof/>
            <w:webHidden/>
            <w:sz w:val="20"/>
            <w:szCs w:val="20"/>
          </w:rPr>
          <w:fldChar w:fldCharType="begin"/>
        </w:r>
        <w:r w:rsidR="00EA4B30" w:rsidRPr="00D20D5C">
          <w:rPr>
            <w:noProof/>
            <w:webHidden/>
            <w:sz w:val="20"/>
            <w:szCs w:val="20"/>
          </w:rPr>
          <w:instrText xml:space="preserve"> PAGEREF _Toc384648483 \h </w:instrText>
        </w:r>
        <w:r w:rsidR="00060EF2" w:rsidRPr="00D20D5C">
          <w:rPr>
            <w:noProof/>
            <w:webHidden/>
            <w:sz w:val="20"/>
            <w:szCs w:val="20"/>
          </w:rPr>
        </w:r>
        <w:r w:rsidR="00060EF2" w:rsidRPr="00D20D5C">
          <w:rPr>
            <w:noProof/>
            <w:webHidden/>
            <w:sz w:val="20"/>
            <w:szCs w:val="20"/>
          </w:rPr>
          <w:fldChar w:fldCharType="separate"/>
        </w:r>
        <w:r w:rsidR="00100D56">
          <w:rPr>
            <w:noProof/>
            <w:webHidden/>
            <w:sz w:val="20"/>
            <w:szCs w:val="20"/>
          </w:rPr>
          <w:t>96</w:t>
        </w:r>
        <w:r w:rsidR="00060EF2" w:rsidRPr="00D20D5C">
          <w:rPr>
            <w:noProof/>
            <w:webHidden/>
            <w:sz w:val="20"/>
            <w:szCs w:val="20"/>
          </w:rPr>
          <w:fldChar w:fldCharType="end"/>
        </w:r>
      </w:hyperlink>
    </w:p>
    <w:p w:rsidR="00EA4B30" w:rsidRPr="00EA4B30" w:rsidRDefault="00FA25C5" w:rsidP="00BD09C5">
      <w:pPr>
        <w:pStyle w:val="21"/>
        <w:spacing w:after="60"/>
        <w:rPr>
          <w:rFonts w:asciiTheme="minorHAnsi" w:eastAsiaTheme="minorEastAsia" w:hAnsiTheme="minorHAnsi" w:cstheme="minorBidi"/>
          <w:noProof/>
          <w:lang w:val="fr-FR" w:eastAsia="fr-FR"/>
        </w:rPr>
      </w:pPr>
      <w:hyperlink w:anchor="_Toc384648484" w:history="1">
        <w:r w:rsidR="00EA4B30" w:rsidRPr="00EA4B30">
          <w:rPr>
            <w:rStyle w:val="af5"/>
            <w:noProof/>
            <w:sz w:val="22"/>
            <w:szCs w:val="22"/>
          </w:rPr>
          <w:t>ANNEXE 3 Map of the Programme Area</w:t>
        </w:r>
        <w:r w:rsidR="00EA4B30" w:rsidRPr="00EA4B30">
          <w:rPr>
            <w:noProof/>
            <w:webHidden/>
          </w:rPr>
          <w:tab/>
        </w:r>
        <w:r w:rsidR="00060EF2" w:rsidRPr="00D20D5C">
          <w:rPr>
            <w:noProof/>
            <w:webHidden/>
            <w:sz w:val="20"/>
            <w:szCs w:val="20"/>
          </w:rPr>
          <w:fldChar w:fldCharType="begin"/>
        </w:r>
        <w:r w:rsidR="00EA4B30" w:rsidRPr="00D20D5C">
          <w:rPr>
            <w:noProof/>
            <w:webHidden/>
            <w:sz w:val="20"/>
            <w:szCs w:val="20"/>
          </w:rPr>
          <w:instrText xml:space="preserve"> PAGEREF _Toc384648484 \h </w:instrText>
        </w:r>
        <w:r w:rsidR="00060EF2" w:rsidRPr="00D20D5C">
          <w:rPr>
            <w:noProof/>
            <w:webHidden/>
            <w:sz w:val="20"/>
            <w:szCs w:val="20"/>
          </w:rPr>
        </w:r>
        <w:r w:rsidR="00060EF2" w:rsidRPr="00D20D5C">
          <w:rPr>
            <w:noProof/>
            <w:webHidden/>
            <w:sz w:val="20"/>
            <w:szCs w:val="20"/>
          </w:rPr>
          <w:fldChar w:fldCharType="separate"/>
        </w:r>
        <w:r w:rsidR="00100D56">
          <w:rPr>
            <w:noProof/>
            <w:webHidden/>
            <w:sz w:val="20"/>
            <w:szCs w:val="20"/>
          </w:rPr>
          <w:t>97</w:t>
        </w:r>
        <w:r w:rsidR="00060EF2" w:rsidRPr="00D20D5C">
          <w:rPr>
            <w:noProof/>
            <w:webHidden/>
            <w:sz w:val="20"/>
            <w:szCs w:val="20"/>
          </w:rPr>
          <w:fldChar w:fldCharType="end"/>
        </w:r>
      </w:hyperlink>
    </w:p>
    <w:p w:rsidR="00EA4B30" w:rsidRDefault="00FA25C5" w:rsidP="00BD09C5">
      <w:pPr>
        <w:pStyle w:val="21"/>
        <w:spacing w:after="60"/>
        <w:rPr>
          <w:rFonts w:asciiTheme="minorHAnsi" w:eastAsiaTheme="minorEastAsia" w:hAnsiTheme="minorHAnsi" w:cstheme="minorBidi"/>
          <w:noProof/>
          <w:lang w:val="fr-FR" w:eastAsia="fr-FR"/>
        </w:rPr>
      </w:pPr>
      <w:hyperlink w:anchor="_Toc384648485" w:history="1">
        <w:r w:rsidR="00EA4B30" w:rsidRPr="00EA4B30">
          <w:rPr>
            <w:rStyle w:val="af5"/>
            <w:noProof/>
            <w:sz w:val="22"/>
            <w:szCs w:val="22"/>
          </w:rPr>
          <w:t>ANNEXE 4 Strategic Environmental Assessment</w:t>
        </w:r>
        <w:r w:rsidR="00EA4B30" w:rsidRPr="00EA4B30">
          <w:rPr>
            <w:noProof/>
            <w:webHidden/>
          </w:rPr>
          <w:tab/>
        </w:r>
        <w:r w:rsidR="00060EF2" w:rsidRPr="00D20D5C">
          <w:rPr>
            <w:noProof/>
            <w:webHidden/>
            <w:sz w:val="20"/>
            <w:szCs w:val="20"/>
          </w:rPr>
          <w:fldChar w:fldCharType="begin"/>
        </w:r>
        <w:r w:rsidR="00EA4B30" w:rsidRPr="00D20D5C">
          <w:rPr>
            <w:noProof/>
            <w:webHidden/>
            <w:sz w:val="20"/>
            <w:szCs w:val="20"/>
          </w:rPr>
          <w:instrText xml:space="preserve"> PAGEREF _Toc384648485 \h </w:instrText>
        </w:r>
        <w:r w:rsidR="00060EF2" w:rsidRPr="00D20D5C">
          <w:rPr>
            <w:noProof/>
            <w:webHidden/>
            <w:sz w:val="20"/>
            <w:szCs w:val="20"/>
          </w:rPr>
        </w:r>
        <w:r w:rsidR="00060EF2" w:rsidRPr="00D20D5C">
          <w:rPr>
            <w:noProof/>
            <w:webHidden/>
            <w:sz w:val="20"/>
            <w:szCs w:val="20"/>
          </w:rPr>
          <w:fldChar w:fldCharType="separate"/>
        </w:r>
        <w:r w:rsidR="00100D56">
          <w:rPr>
            <w:noProof/>
            <w:webHidden/>
            <w:sz w:val="20"/>
            <w:szCs w:val="20"/>
          </w:rPr>
          <w:t>99</w:t>
        </w:r>
        <w:r w:rsidR="00060EF2" w:rsidRPr="00D20D5C">
          <w:rPr>
            <w:noProof/>
            <w:webHidden/>
            <w:sz w:val="20"/>
            <w:szCs w:val="20"/>
          </w:rPr>
          <w:fldChar w:fldCharType="end"/>
        </w:r>
      </w:hyperlink>
    </w:p>
    <w:p w:rsidR="00AC759C" w:rsidRPr="004F5F2B" w:rsidRDefault="00060EF2" w:rsidP="00BE5386">
      <w:pPr>
        <w:rPr>
          <w:rFonts w:ascii="Verdana" w:eastAsia="Calibri" w:hAnsi="Verdana"/>
          <w:b/>
          <w:smallCaps/>
          <w:sz w:val="32"/>
          <w:szCs w:val="32"/>
          <w:lang w:eastAsia="en-US"/>
        </w:rPr>
      </w:pPr>
      <w:r w:rsidRPr="004F5F2B">
        <w:fldChar w:fldCharType="end"/>
      </w:r>
      <w:r w:rsidR="00364438" w:rsidRPr="004F5F2B">
        <w:br w:type="page"/>
      </w:r>
    </w:p>
    <w:p w:rsidR="00AC759C" w:rsidRPr="004F5F2B" w:rsidRDefault="00AC759C" w:rsidP="00A40420">
      <w:pPr>
        <w:pStyle w:val="StyleHeading1Hanging085cm"/>
      </w:pPr>
    </w:p>
    <w:p w:rsidR="00AC759C" w:rsidRPr="004F5F2B" w:rsidRDefault="00AC759C" w:rsidP="00A40420">
      <w:pPr>
        <w:pStyle w:val="StyleHeading1Hanging085cm"/>
      </w:pPr>
    </w:p>
    <w:p w:rsidR="00E62C08" w:rsidRPr="004F5F2B" w:rsidRDefault="00E62C08" w:rsidP="00A40420">
      <w:pPr>
        <w:pStyle w:val="StyleHeading1Hanging085cm"/>
      </w:pPr>
    </w:p>
    <w:p w:rsidR="00DC282F" w:rsidRPr="004F5F2B" w:rsidRDefault="00DC282F" w:rsidP="00E62C08">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E62C08" w:rsidRPr="004F5F2B" w:rsidRDefault="00E62C08" w:rsidP="00E62C08">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r w:rsidRPr="004F5F2B">
        <w:rPr>
          <w:rFonts w:ascii="Verdana" w:hAnsi="Verdana"/>
          <w:b/>
          <w:bCs/>
        </w:rPr>
        <w:t>SECTION ONE</w:t>
      </w:r>
    </w:p>
    <w:p w:rsidR="00E62C08" w:rsidRPr="004F5F2B" w:rsidRDefault="00E62C08" w:rsidP="00E62C08">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E62C08" w:rsidRPr="004F5F2B" w:rsidRDefault="00E62C08" w:rsidP="00E62C08">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E62C08" w:rsidRPr="00E63C1B" w:rsidRDefault="00E62C08" w:rsidP="000B06AD">
      <w:pPr>
        <w:pBdr>
          <w:top w:val="single" w:sz="4" w:space="1" w:color="auto" w:shadow="1"/>
          <w:left w:val="single" w:sz="4" w:space="4" w:color="auto" w:shadow="1"/>
          <w:bottom w:val="single" w:sz="4" w:space="1" w:color="auto" w:shadow="1"/>
          <w:right w:val="single" w:sz="4" w:space="4" w:color="auto" w:shadow="1"/>
        </w:pBdr>
        <w:spacing w:line="276" w:lineRule="auto"/>
        <w:jc w:val="center"/>
        <w:rPr>
          <w:rFonts w:ascii="Verdana" w:hAnsi="Verdana"/>
          <w:b/>
          <w:sz w:val="28"/>
          <w:szCs w:val="28"/>
        </w:rPr>
      </w:pPr>
      <w:r w:rsidRPr="00E63C1B">
        <w:rPr>
          <w:rFonts w:ascii="Verdana" w:hAnsi="Verdana"/>
          <w:b/>
          <w:sz w:val="28"/>
          <w:szCs w:val="28"/>
        </w:rPr>
        <w:t>Strategy for the contribution of URBACT III</w:t>
      </w:r>
    </w:p>
    <w:p w:rsidR="00E62C08" w:rsidRPr="00E63C1B" w:rsidRDefault="00E62C08" w:rsidP="000B06AD">
      <w:pPr>
        <w:pBdr>
          <w:top w:val="single" w:sz="4" w:space="1" w:color="auto" w:shadow="1"/>
          <w:left w:val="single" w:sz="4" w:space="4" w:color="auto" w:shadow="1"/>
          <w:bottom w:val="single" w:sz="4" w:space="1" w:color="auto" w:shadow="1"/>
          <w:right w:val="single" w:sz="4" w:space="4" w:color="auto" w:shadow="1"/>
        </w:pBdr>
        <w:spacing w:line="276" w:lineRule="auto"/>
        <w:jc w:val="center"/>
        <w:rPr>
          <w:rFonts w:ascii="Verdana" w:hAnsi="Verdana"/>
          <w:b/>
          <w:bCs/>
          <w:sz w:val="28"/>
          <w:szCs w:val="28"/>
        </w:rPr>
      </w:pPr>
      <w:r w:rsidRPr="00E63C1B">
        <w:rPr>
          <w:rFonts w:ascii="Verdana" w:hAnsi="Verdana"/>
          <w:b/>
          <w:sz w:val="28"/>
          <w:szCs w:val="28"/>
        </w:rPr>
        <w:t>to Europe 2020 and the achievement of economic, social and territorial cohesion</w:t>
      </w:r>
    </w:p>
    <w:p w:rsidR="00E62C08" w:rsidRPr="004F5F2B" w:rsidRDefault="00E62C08" w:rsidP="00E62C0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sz w:val="32"/>
          <w:szCs w:val="32"/>
        </w:rPr>
      </w:pPr>
    </w:p>
    <w:p w:rsidR="00E62C08" w:rsidRPr="004F5F2B" w:rsidRDefault="00E62C08" w:rsidP="00E62C0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2C08" w:rsidRPr="004F5F2B" w:rsidRDefault="00E62C08" w:rsidP="00E62C0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2C08" w:rsidRPr="000B06AD" w:rsidRDefault="00E62C08" w:rsidP="00E62C0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2C08" w:rsidRPr="000B06AD" w:rsidRDefault="00DC282F" w:rsidP="00D67ECF">
      <w:pPr>
        <w:pStyle w:val="Paragraphedeliste3"/>
        <w:numPr>
          <w:ilvl w:val="1"/>
          <w:numId w:val="13"/>
        </w:num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sz w:val="24"/>
          <w:szCs w:val="24"/>
        </w:rPr>
      </w:pPr>
      <w:r w:rsidRPr="000B06AD">
        <w:rPr>
          <w:rFonts w:ascii="Verdana" w:hAnsi="Verdana"/>
          <w:b/>
          <w:bCs/>
          <w:sz w:val="24"/>
          <w:szCs w:val="24"/>
        </w:rPr>
        <w:t>Strategy</w:t>
      </w:r>
    </w:p>
    <w:p w:rsidR="00FA1AE7" w:rsidRPr="000B06AD" w:rsidRDefault="00FA1AE7" w:rsidP="00FA1AE7">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iCs/>
          <w:lang w:eastAsia="ar-SA"/>
        </w:rPr>
      </w:pPr>
    </w:p>
    <w:p w:rsidR="00E62C08" w:rsidRPr="000B06AD" w:rsidRDefault="00DC282F" w:rsidP="00DC282F">
      <w:pPr>
        <w:pBdr>
          <w:top w:val="single" w:sz="4" w:space="1" w:color="auto" w:shadow="1"/>
          <w:left w:val="single" w:sz="4" w:space="4" w:color="auto" w:shadow="1"/>
          <w:bottom w:val="single" w:sz="4" w:space="1" w:color="auto" w:shadow="1"/>
          <w:right w:val="single" w:sz="4" w:space="4" w:color="auto" w:shadow="1"/>
        </w:pBdr>
        <w:spacing w:before="60"/>
        <w:ind w:firstLine="708"/>
        <w:jc w:val="both"/>
        <w:rPr>
          <w:rFonts w:ascii="Verdana" w:hAnsi="Verdana"/>
          <w:b/>
          <w:bCs/>
        </w:rPr>
      </w:pPr>
      <w:r w:rsidRPr="000B06AD">
        <w:rPr>
          <w:rFonts w:ascii="Verdana" w:hAnsi="Verdana"/>
          <w:b/>
          <w:bCs/>
        </w:rPr>
        <w:t>1.1.1.</w:t>
      </w:r>
      <w:r w:rsidRPr="000B06AD">
        <w:rPr>
          <w:rFonts w:ascii="Verdana" w:hAnsi="Verdana"/>
          <w:b/>
          <w:bCs/>
        </w:rPr>
        <w:tab/>
        <w:t>The context of the Programme</w:t>
      </w:r>
    </w:p>
    <w:p w:rsidR="00DC282F" w:rsidRPr="000B06AD" w:rsidRDefault="00DC282F" w:rsidP="00DC282F">
      <w:pPr>
        <w:pBdr>
          <w:top w:val="single" w:sz="4" w:space="1" w:color="auto" w:shadow="1"/>
          <w:left w:val="single" w:sz="4" w:space="4" w:color="auto" w:shadow="1"/>
          <w:bottom w:val="single" w:sz="4" w:space="1" w:color="auto" w:shadow="1"/>
          <w:right w:val="single" w:sz="4" w:space="4" w:color="auto" w:shadow="1"/>
        </w:pBdr>
        <w:spacing w:before="60"/>
        <w:ind w:firstLine="708"/>
        <w:jc w:val="both"/>
        <w:rPr>
          <w:rFonts w:ascii="Verdana" w:hAnsi="Verdana"/>
          <w:b/>
          <w:bCs/>
        </w:rPr>
      </w:pPr>
      <w:r w:rsidRPr="000B06AD">
        <w:rPr>
          <w:rFonts w:ascii="Verdana" w:hAnsi="Verdana"/>
          <w:b/>
          <w:bCs/>
        </w:rPr>
        <w:t>1.1.2.</w:t>
      </w:r>
      <w:r w:rsidRPr="000B06AD">
        <w:rPr>
          <w:rFonts w:ascii="Verdana" w:hAnsi="Verdana"/>
          <w:b/>
          <w:bCs/>
        </w:rPr>
        <w:tab/>
        <w:t>Urban context and the need of cities</w:t>
      </w:r>
    </w:p>
    <w:p w:rsidR="00DC282F" w:rsidRPr="000B06AD" w:rsidRDefault="00DC282F" w:rsidP="00DC282F">
      <w:pPr>
        <w:pBdr>
          <w:top w:val="single" w:sz="4" w:space="1" w:color="auto" w:shadow="1"/>
          <w:left w:val="single" w:sz="4" w:space="4" w:color="auto" w:shadow="1"/>
          <w:bottom w:val="single" w:sz="4" w:space="1" w:color="auto" w:shadow="1"/>
          <w:right w:val="single" w:sz="4" w:space="4" w:color="auto" w:shadow="1"/>
        </w:pBdr>
        <w:spacing w:before="60"/>
        <w:ind w:firstLine="708"/>
        <w:jc w:val="both"/>
        <w:rPr>
          <w:rFonts w:ascii="Verdana" w:hAnsi="Verdana"/>
          <w:b/>
          <w:bCs/>
        </w:rPr>
      </w:pPr>
      <w:r w:rsidRPr="000B06AD">
        <w:rPr>
          <w:rFonts w:ascii="Verdana" w:hAnsi="Verdana"/>
          <w:b/>
          <w:bCs/>
        </w:rPr>
        <w:t>1.1.3.</w:t>
      </w:r>
      <w:r w:rsidRPr="000B06AD">
        <w:rPr>
          <w:rFonts w:ascii="Verdana" w:hAnsi="Verdana"/>
          <w:b/>
          <w:bCs/>
        </w:rPr>
        <w:tab/>
        <w:t>Strategy</w:t>
      </w:r>
    </w:p>
    <w:p w:rsidR="00DC282F" w:rsidRPr="000B06AD" w:rsidRDefault="00DC282F" w:rsidP="00E62C0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FA1AE7" w:rsidRPr="000B06AD" w:rsidRDefault="00FA1AE7" w:rsidP="00E62C0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2C08" w:rsidRPr="000B06AD" w:rsidRDefault="00DC282F" w:rsidP="00E62C0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r w:rsidRPr="000B06AD">
        <w:rPr>
          <w:rFonts w:ascii="Verdana" w:hAnsi="Verdana"/>
          <w:b/>
          <w:bCs/>
        </w:rPr>
        <w:t>1.2</w:t>
      </w:r>
      <w:r w:rsidR="00E62C08" w:rsidRPr="000B06AD">
        <w:rPr>
          <w:rFonts w:ascii="Verdana" w:hAnsi="Verdana"/>
          <w:b/>
          <w:bCs/>
        </w:rPr>
        <w:tab/>
      </w:r>
      <w:r w:rsidRPr="000B06AD">
        <w:rPr>
          <w:rFonts w:ascii="Verdana" w:hAnsi="Verdana"/>
          <w:b/>
          <w:bCs/>
        </w:rPr>
        <w:t>Financial Allocation</w:t>
      </w:r>
    </w:p>
    <w:p w:rsidR="00E62C08" w:rsidRPr="004F5F2B" w:rsidRDefault="00E62C08" w:rsidP="00E62C0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2C08" w:rsidRPr="004F5F2B" w:rsidRDefault="00E62C08" w:rsidP="00E62C0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2C08" w:rsidRPr="004F5F2B" w:rsidRDefault="00E62C08" w:rsidP="00E62C0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2C08" w:rsidRPr="004F5F2B" w:rsidRDefault="00E62C08" w:rsidP="00E62C0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2C08" w:rsidRPr="004F5F2B" w:rsidRDefault="00E62C08" w:rsidP="00E62C0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2C08" w:rsidRPr="004F5F2B" w:rsidRDefault="00E62C08" w:rsidP="00A40420">
      <w:pPr>
        <w:pStyle w:val="StyleHeading1Hanging085cm"/>
      </w:pPr>
    </w:p>
    <w:p w:rsidR="00E62C08" w:rsidRPr="004F5F2B" w:rsidRDefault="00E62C08" w:rsidP="00A40420">
      <w:pPr>
        <w:pStyle w:val="StyleHeading1Hanging085cm"/>
      </w:pPr>
    </w:p>
    <w:p w:rsidR="00E62C08" w:rsidRPr="004F5F2B" w:rsidRDefault="00E62C08" w:rsidP="00A40420">
      <w:pPr>
        <w:pStyle w:val="StyleHeading1Hanging085cm"/>
      </w:pPr>
    </w:p>
    <w:p w:rsidR="00E62C08" w:rsidRPr="004F5F2B" w:rsidRDefault="00E62C08">
      <w:pPr>
        <w:spacing w:after="200" w:line="276" w:lineRule="auto"/>
        <w:rPr>
          <w:rFonts w:ascii="Verdana" w:eastAsia="Calibri" w:hAnsi="Verdana"/>
          <w:b/>
          <w:smallCaps/>
          <w:lang w:eastAsia="en-US"/>
        </w:rPr>
      </w:pPr>
      <w:r w:rsidRPr="004F5F2B">
        <w:rPr>
          <w:i/>
        </w:rPr>
        <w:br w:type="page"/>
      </w:r>
    </w:p>
    <w:p w:rsidR="00C17DB5" w:rsidRPr="00E63C1B" w:rsidRDefault="00C17DB5" w:rsidP="00A40420">
      <w:pPr>
        <w:pStyle w:val="StyleHeading1Hanging085cm"/>
      </w:pPr>
      <w:bookmarkStart w:id="0" w:name="_Toc384648430"/>
      <w:r w:rsidRPr="00E63C1B">
        <w:t>S</w:t>
      </w:r>
      <w:r w:rsidR="00BB3E0B" w:rsidRPr="00E63C1B">
        <w:t>ection</w:t>
      </w:r>
      <w:r w:rsidRPr="00E63C1B">
        <w:t xml:space="preserve"> 1 – Strategy for the contribution OF </w:t>
      </w:r>
      <w:r w:rsidRPr="00570C49">
        <w:t>URBACT</w:t>
      </w:r>
      <w:r w:rsidRPr="00E63C1B">
        <w:t xml:space="preserve"> III to Europe 20</w:t>
      </w:r>
      <w:r w:rsidRPr="00570C49">
        <w:t>2</w:t>
      </w:r>
      <w:r w:rsidRPr="00E63C1B">
        <w:t>0 and the achievement of economic, social and territorial cohesion</w:t>
      </w:r>
      <w:r w:rsidRPr="00E63C1B">
        <w:footnoteReference w:id="1"/>
      </w:r>
      <w:bookmarkEnd w:id="0"/>
    </w:p>
    <w:p w:rsidR="00C17DB5" w:rsidRPr="004F5F2B" w:rsidRDefault="00C17DB5" w:rsidP="00570C49">
      <w:pPr>
        <w:rPr>
          <w:rFonts w:ascii="Verdana" w:hAnsi="Verdana"/>
        </w:rPr>
      </w:pPr>
    </w:p>
    <w:p w:rsidR="00C17DB5" w:rsidRPr="00570C49" w:rsidRDefault="00C17DB5" w:rsidP="00570C49">
      <w:pPr>
        <w:pStyle w:val="2"/>
        <w:ind w:left="57"/>
      </w:pPr>
      <w:bookmarkStart w:id="1" w:name="_Toc384648431"/>
      <w:r w:rsidRPr="00570C49">
        <w:t xml:space="preserve">1.1 </w:t>
      </w:r>
      <w:r w:rsidR="00A97643">
        <w:tab/>
      </w:r>
      <w:r w:rsidRPr="00570C49">
        <w:t>Strategy for the URBACT contribution to Europe 2020 and to the achievement of economic, social and territorial cohesion</w:t>
      </w:r>
      <w:bookmarkEnd w:id="1"/>
    </w:p>
    <w:p w:rsidR="00276D3A" w:rsidRPr="004F5F2B" w:rsidRDefault="00276D3A" w:rsidP="00C17DB5">
      <w:pPr>
        <w:jc w:val="both"/>
        <w:rPr>
          <w:rFonts w:ascii="Verdana" w:hAnsi="Verdana"/>
          <w:b/>
        </w:rPr>
      </w:pPr>
    </w:p>
    <w:p w:rsidR="00C17DB5" w:rsidRPr="00334700" w:rsidRDefault="00C17DB5" w:rsidP="00334700">
      <w:pPr>
        <w:pStyle w:val="2"/>
        <w:ind w:left="57"/>
      </w:pPr>
      <w:bookmarkStart w:id="2" w:name="_Toc384648432"/>
      <w:r w:rsidRPr="00334700">
        <w:t>1.1.1 The context of the programme</w:t>
      </w:r>
      <w:bookmarkEnd w:id="2"/>
    </w:p>
    <w:p w:rsidR="00276D3A" w:rsidRPr="004F5F2B" w:rsidRDefault="00276D3A" w:rsidP="000B06AD">
      <w:pPr>
        <w:pStyle w:val="4"/>
        <w:rPr>
          <w:sz w:val="24"/>
          <w:szCs w:val="24"/>
        </w:rPr>
      </w:pPr>
    </w:p>
    <w:p w:rsidR="00C17DB5" w:rsidRPr="00E63C1B" w:rsidRDefault="00C17DB5" w:rsidP="000B06AD">
      <w:pPr>
        <w:pStyle w:val="4"/>
        <w:rPr>
          <w:sz w:val="22"/>
          <w:szCs w:val="22"/>
        </w:rPr>
      </w:pPr>
      <w:r w:rsidRPr="00E63C1B">
        <w:rPr>
          <w:sz w:val="22"/>
          <w:szCs w:val="22"/>
        </w:rPr>
        <w:t>Introduction</w:t>
      </w:r>
    </w:p>
    <w:p w:rsidR="00C17DB5" w:rsidRPr="00E63C1B" w:rsidRDefault="00C17DB5" w:rsidP="000B06AD">
      <w:pPr>
        <w:spacing w:line="276" w:lineRule="auto"/>
        <w:jc w:val="both"/>
        <w:rPr>
          <w:rFonts w:ascii="Verdana" w:hAnsi="Verdana"/>
          <w:sz w:val="22"/>
          <w:szCs w:val="22"/>
        </w:rPr>
      </w:pPr>
      <w:r w:rsidRPr="00E63C1B">
        <w:rPr>
          <w:rFonts w:ascii="Verdana" w:hAnsi="Verdana"/>
          <w:sz w:val="22"/>
          <w:szCs w:val="22"/>
        </w:rPr>
        <w:t>URBACT facilitates the sharing of knowledge and good practice between cities and other levels of government. The purpose is to promote integrated sustainable development and improve the effectiveness of regional and cohesion policy. The URBACT III programme will cover all the 28 Member States (MS) of the European Union (EU) as well as the two partner countries (PS) of Norway and Switzerland. The programme is co-financed by the European Regional Development Fund (ERDF) and has a budget of 74.302 million EUR for the 2014-2020 period.</w:t>
      </w:r>
    </w:p>
    <w:p w:rsidR="00276D3A" w:rsidRPr="00E63C1B" w:rsidRDefault="00276D3A" w:rsidP="000B06AD">
      <w:pPr>
        <w:widowControl w:val="0"/>
        <w:autoSpaceDE w:val="0"/>
        <w:autoSpaceDN w:val="0"/>
        <w:adjustRightInd w:val="0"/>
        <w:spacing w:line="276" w:lineRule="auto"/>
        <w:jc w:val="both"/>
        <w:rPr>
          <w:rFonts w:ascii="Verdana" w:hAnsi="Verdana"/>
          <w:color w:val="000000"/>
          <w:sz w:val="22"/>
          <w:szCs w:val="22"/>
        </w:rPr>
      </w:pPr>
    </w:p>
    <w:p w:rsidR="00C17DB5" w:rsidRPr="00E63C1B" w:rsidRDefault="00C17DB5" w:rsidP="000B06AD">
      <w:pPr>
        <w:widowControl w:val="0"/>
        <w:autoSpaceDE w:val="0"/>
        <w:autoSpaceDN w:val="0"/>
        <w:adjustRightInd w:val="0"/>
        <w:spacing w:line="276" w:lineRule="auto"/>
        <w:jc w:val="both"/>
        <w:rPr>
          <w:rStyle w:val="a9"/>
          <w:rFonts w:ascii="Verdana" w:hAnsi="Verdana"/>
          <w:b/>
          <w:color w:val="000000"/>
          <w:sz w:val="22"/>
          <w:szCs w:val="22"/>
        </w:rPr>
      </w:pPr>
      <w:r w:rsidRPr="00E63C1B">
        <w:rPr>
          <w:rFonts w:ascii="Verdana" w:hAnsi="Verdana"/>
          <w:color w:val="000000"/>
          <w:sz w:val="22"/>
          <w:szCs w:val="22"/>
        </w:rPr>
        <w:t xml:space="preserve">The 2014-2020 URBACT III programme builds on URBACT I (2002-2006) </w:t>
      </w:r>
      <w:r w:rsidR="004F5F2B" w:rsidRPr="00E63C1B">
        <w:rPr>
          <w:rFonts w:ascii="Verdana" w:hAnsi="Verdana"/>
          <w:color w:val="000000"/>
          <w:sz w:val="22"/>
          <w:szCs w:val="22"/>
        </w:rPr>
        <w:t>and URBACT</w:t>
      </w:r>
      <w:r w:rsidRPr="00E63C1B">
        <w:rPr>
          <w:rFonts w:ascii="Verdana" w:hAnsi="Verdana"/>
          <w:color w:val="000000"/>
          <w:sz w:val="22"/>
          <w:szCs w:val="22"/>
        </w:rPr>
        <w:t xml:space="preserve"> II (2007-2013). URBACT II had a wider thematic scope to promote exchange and learning on sustainable urban development among cities in the mainstream programmes.  It went beyond exchange and learning activity through the inclusion of capacity building measures as well as pilots on implementation and transfer.</w:t>
      </w:r>
      <w:r w:rsidRPr="00E63C1B">
        <w:rPr>
          <w:rStyle w:val="a9"/>
          <w:rFonts w:ascii="Verdana" w:hAnsi="Verdana"/>
          <w:b/>
          <w:color w:val="000000"/>
          <w:sz w:val="22"/>
          <w:szCs w:val="22"/>
        </w:rPr>
        <w:tab/>
      </w:r>
    </w:p>
    <w:p w:rsidR="00276D3A" w:rsidRPr="00E63C1B" w:rsidRDefault="00276D3A" w:rsidP="000B06AD">
      <w:pPr>
        <w:widowControl w:val="0"/>
        <w:autoSpaceDE w:val="0"/>
        <w:autoSpaceDN w:val="0"/>
        <w:adjustRightInd w:val="0"/>
        <w:spacing w:line="276" w:lineRule="auto"/>
        <w:jc w:val="both"/>
        <w:rPr>
          <w:rStyle w:val="a9"/>
          <w:rFonts w:ascii="Verdana" w:hAnsi="Verdana"/>
          <w:b/>
          <w:color w:val="000000"/>
          <w:sz w:val="22"/>
          <w:szCs w:val="22"/>
        </w:rPr>
      </w:pPr>
    </w:p>
    <w:p w:rsidR="00C17DB5" w:rsidRPr="00E63C1B" w:rsidRDefault="00C17DB5" w:rsidP="000B06AD">
      <w:pPr>
        <w:pStyle w:val="5"/>
        <w:rPr>
          <w:rFonts w:ascii="Verdana" w:hAnsi="Verdana"/>
          <w:bCs/>
          <w:i w:val="0"/>
          <w:sz w:val="22"/>
          <w:szCs w:val="22"/>
          <w:lang w:eastAsia="ar-SA"/>
        </w:rPr>
      </w:pPr>
      <w:r w:rsidRPr="00E63C1B">
        <w:rPr>
          <w:rStyle w:val="TableauGrille1Clair1"/>
          <w:rFonts w:ascii="Verdana" w:hAnsi="Verdana" w:cs="Arial"/>
          <w:i w:val="0"/>
          <w:sz w:val="22"/>
          <w:szCs w:val="22"/>
        </w:rPr>
        <w:t xml:space="preserve">EUROPE 2020 - A strategy for smart, sustainable and inclusive growth </w:t>
      </w:r>
    </w:p>
    <w:p w:rsidR="00276D3A" w:rsidRPr="00E63C1B" w:rsidRDefault="00276D3A" w:rsidP="000B06AD">
      <w:pPr>
        <w:autoSpaceDE w:val="0"/>
        <w:spacing w:line="276" w:lineRule="auto"/>
        <w:rPr>
          <w:rFonts w:ascii="Verdana" w:hAnsi="Verdana"/>
          <w:sz w:val="22"/>
          <w:szCs w:val="22"/>
        </w:rPr>
      </w:pPr>
    </w:p>
    <w:p w:rsidR="00C17DB5" w:rsidRPr="00E63C1B" w:rsidRDefault="00C17DB5" w:rsidP="000B06AD">
      <w:pPr>
        <w:autoSpaceDE w:val="0"/>
        <w:spacing w:after="120" w:line="276" w:lineRule="auto"/>
        <w:jc w:val="both"/>
        <w:rPr>
          <w:rFonts w:ascii="Verdana" w:hAnsi="Verdana"/>
          <w:sz w:val="22"/>
          <w:szCs w:val="22"/>
        </w:rPr>
      </w:pPr>
      <w:r w:rsidRPr="00E63C1B">
        <w:rPr>
          <w:rFonts w:ascii="Verdana" w:hAnsi="Verdana"/>
          <w:sz w:val="22"/>
          <w:szCs w:val="22"/>
        </w:rPr>
        <w:t>Europe 2020</w:t>
      </w:r>
      <w:r w:rsidR="00717C94" w:rsidRPr="00E63C1B">
        <w:rPr>
          <w:rStyle w:val="a5"/>
          <w:rFonts w:ascii="Verdana" w:hAnsi="Verdana"/>
          <w:sz w:val="22"/>
          <w:szCs w:val="22"/>
        </w:rPr>
        <w:footnoteReference w:id="2"/>
      </w:r>
      <w:r w:rsidRPr="00E63C1B">
        <w:rPr>
          <w:rFonts w:ascii="Verdana" w:hAnsi="Verdana"/>
          <w:sz w:val="22"/>
          <w:szCs w:val="22"/>
        </w:rPr>
        <w:t xml:space="preserve"> is the strategy to turn the EU into a smart, sustainable and inclusive economy, fostering innovation, increasing employment through productivity and growth, while enhancing social cohesion. Europe 2020 has three mutually reinforcing priorities:</w:t>
      </w:r>
    </w:p>
    <w:p w:rsidR="00C17DB5" w:rsidRPr="00E63C1B" w:rsidRDefault="00C17DB5" w:rsidP="000B06AD">
      <w:pPr>
        <w:pStyle w:val="Paragraphedeliste3"/>
        <w:spacing w:after="120"/>
        <w:rPr>
          <w:rFonts w:ascii="Verdana" w:hAnsi="Verdana"/>
        </w:rPr>
      </w:pPr>
      <w:r w:rsidRPr="00E63C1B">
        <w:rPr>
          <w:rStyle w:val="af5"/>
          <w:rFonts w:ascii="Verdana" w:hAnsi="Verdana"/>
          <w:b/>
          <w:bCs/>
        </w:rPr>
        <w:t>S</w:t>
      </w:r>
      <w:hyperlink r:id="rId11" w:tooltip="Smart growth" w:history="1">
        <w:r w:rsidRPr="00E63C1B">
          <w:rPr>
            <w:rStyle w:val="af5"/>
            <w:rFonts w:ascii="Verdana" w:hAnsi="Verdana"/>
            <w:b/>
            <w:bCs/>
          </w:rPr>
          <w:t>mart growth</w:t>
        </w:r>
      </w:hyperlink>
      <w:r w:rsidRPr="00E63C1B">
        <w:rPr>
          <w:rFonts w:ascii="Verdana" w:hAnsi="Verdana"/>
        </w:rPr>
        <w:t xml:space="preserve">: developing an economy based on knowledge and innovation. Flagship initiatives are the </w:t>
      </w:r>
      <w:hyperlink r:id="rId12" w:tgtFrame="_blank" w:tooltip="Digital agenda for Europe" w:history="1">
        <w:r w:rsidRPr="00E63C1B">
          <w:rPr>
            <w:rStyle w:val="af5"/>
            <w:rFonts w:ascii="Verdana" w:hAnsi="Verdana"/>
          </w:rPr>
          <w:t>Digital agenda for Europe</w:t>
        </w:r>
      </w:hyperlink>
      <w:r w:rsidRPr="00E63C1B">
        <w:rPr>
          <w:rFonts w:ascii="Verdana" w:hAnsi="Verdana"/>
        </w:rPr>
        <w:t xml:space="preserve">, the </w:t>
      </w:r>
      <w:hyperlink r:id="rId13" w:tgtFrame="_blank" w:tooltip="Innovation Union" w:history="1">
        <w:r w:rsidRPr="00E63C1B">
          <w:rPr>
            <w:rStyle w:val="af5"/>
            <w:rFonts w:ascii="Verdana" w:hAnsi="Verdana"/>
          </w:rPr>
          <w:t>Innovation Union</w:t>
        </w:r>
      </w:hyperlink>
      <w:r w:rsidRPr="00E63C1B">
        <w:rPr>
          <w:rFonts w:ascii="Verdana" w:hAnsi="Verdana"/>
        </w:rPr>
        <w:t xml:space="preserve"> and </w:t>
      </w:r>
      <w:hyperlink r:id="rId14" w:tgtFrame="_blank" w:tooltip="Youth on the move" w:history="1">
        <w:r w:rsidRPr="00E63C1B">
          <w:rPr>
            <w:rStyle w:val="af5"/>
            <w:rFonts w:ascii="Verdana" w:hAnsi="Verdana"/>
          </w:rPr>
          <w:t>Youth on the move</w:t>
        </w:r>
      </w:hyperlink>
    </w:p>
    <w:p w:rsidR="00C17DB5" w:rsidRPr="00E63C1B" w:rsidRDefault="00FA25C5" w:rsidP="000B06AD">
      <w:pPr>
        <w:pStyle w:val="Paragraphedeliste3"/>
        <w:spacing w:after="120"/>
        <w:rPr>
          <w:rFonts w:ascii="Verdana" w:hAnsi="Verdana"/>
        </w:rPr>
      </w:pPr>
      <w:hyperlink r:id="rId15" w:tooltip="Sustainable growth" w:history="1">
        <w:r w:rsidR="00C17DB5" w:rsidRPr="00E63C1B">
          <w:rPr>
            <w:rStyle w:val="af5"/>
            <w:rFonts w:ascii="Verdana" w:hAnsi="Verdana"/>
            <w:b/>
            <w:bCs/>
          </w:rPr>
          <w:t>Sustainable growth</w:t>
        </w:r>
      </w:hyperlink>
      <w:r w:rsidR="00C17DB5" w:rsidRPr="00E63C1B">
        <w:rPr>
          <w:rFonts w:ascii="Verdana" w:hAnsi="Verdana"/>
        </w:rPr>
        <w:t xml:space="preserve"> promoting a more resource efficient, greener and more competitive economy. Flagship initiatives are a </w:t>
      </w:r>
      <w:hyperlink r:id="rId16" w:tgtFrame="_blank" w:tooltip="Resource efficient Europe" w:history="1">
        <w:r w:rsidR="00C17DB5" w:rsidRPr="00E63C1B">
          <w:rPr>
            <w:rStyle w:val="af5"/>
            <w:rFonts w:ascii="Verdana" w:hAnsi="Verdana"/>
          </w:rPr>
          <w:t>Resource efficient Europe</w:t>
        </w:r>
      </w:hyperlink>
      <w:r w:rsidR="00C17DB5" w:rsidRPr="00E63C1B">
        <w:rPr>
          <w:rFonts w:ascii="Verdana" w:hAnsi="Verdana"/>
        </w:rPr>
        <w:t xml:space="preserve"> and </w:t>
      </w:r>
      <w:hyperlink r:id="rId17" w:tgtFrame="_blank" w:tooltip="An industrial policy for the globalisation era" w:history="1">
        <w:r w:rsidR="00C17DB5" w:rsidRPr="00E63C1B">
          <w:rPr>
            <w:rStyle w:val="af5"/>
            <w:rFonts w:ascii="Verdana" w:hAnsi="Verdana"/>
          </w:rPr>
          <w:t>an industrial policy for the globalisation era</w:t>
        </w:r>
      </w:hyperlink>
    </w:p>
    <w:p w:rsidR="00C17DB5" w:rsidRPr="00E63C1B" w:rsidRDefault="00FA25C5" w:rsidP="000B06AD">
      <w:pPr>
        <w:pStyle w:val="Paragraphedeliste3"/>
        <w:spacing w:after="120"/>
        <w:rPr>
          <w:rFonts w:ascii="Verdana" w:hAnsi="Verdana"/>
        </w:rPr>
      </w:pPr>
      <w:hyperlink r:id="rId18" w:tooltip="Inclusive growth" w:history="1">
        <w:r w:rsidR="00C17DB5" w:rsidRPr="00E63C1B">
          <w:rPr>
            <w:rStyle w:val="af5"/>
            <w:rFonts w:ascii="Verdana" w:hAnsi="Verdana"/>
            <w:b/>
            <w:bCs/>
          </w:rPr>
          <w:t>Inclusive growth</w:t>
        </w:r>
      </w:hyperlink>
      <w:r w:rsidR="00C17DB5" w:rsidRPr="00E63C1B">
        <w:rPr>
          <w:rFonts w:ascii="Verdana" w:hAnsi="Verdana"/>
        </w:rPr>
        <w:t xml:space="preserve"> fostering a high-employment economy delivering social and territorial cohesion. Flagships initiatives are </w:t>
      </w:r>
      <w:hyperlink r:id="rId19" w:tgtFrame="_blank" w:tooltip="An agenda for new skills and jobs" w:history="1">
        <w:r w:rsidR="00C17DB5" w:rsidRPr="00E63C1B">
          <w:rPr>
            <w:rStyle w:val="af5"/>
            <w:rFonts w:ascii="Verdana" w:hAnsi="Verdana"/>
          </w:rPr>
          <w:t>an agenda for new skills and jobs</w:t>
        </w:r>
      </w:hyperlink>
      <w:r w:rsidR="00C17DB5" w:rsidRPr="00E63C1B">
        <w:rPr>
          <w:rFonts w:ascii="Verdana" w:hAnsi="Verdana"/>
        </w:rPr>
        <w:t xml:space="preserve"> and </w:t>
      </w:r>
      <w:hyperlink r:id="rId20" w:tgtFrame="_blank" w:tooltip="European platform against poverty" w:history="1">
        <w:r w:rsidR="00C17DB5" w:rsidRPr="00E63C1B">
          <w:rPr>
            <w:rStyle w:val="af5"/>
            <w:rFonts w:ascii="Verdana" w:hAnsi="Verdana"/>
          </w:rPr>
          <w:t>European platform against poverty</w:t>
        </w:r>
      </w:hyperlink>
    </w:p>
    <w:p w:rsidR="00721521" w:rsidRPr="00E63C1B" w:rsidRDefault="00C17DB5" w:rsidP="000B06AD">
      <w:pPr>
        <w:pStyle w:val="a7"/>
        <w:spacing w:after="120" w:line="276" w:lineRule="auto"/>
        <w:rPr>
          <w:rFonts w:ascii="Verdana" w:hAnsi="Verdana"/>
          <w:sz w:val="22"/>
          <w:szCs w:val="22"/>
        </w:rPr>
      </w:pPr>
      <w:r w:rsidRPr="00E63C1B">
        <w:rPr>
          <w:rFonts w:ascii="Verdana" w:hAnsi="Verdana"/>
          <w:sz w:val="22"/>
          <w:szCs w:val="22"/>
        </w:rPr>
        <w:t>Europe 2020, together with the Territorial Agenda 2020</w:t>
      </w:r>
      <w:r w:rsidRPr="00E63C1B">
        <w:rPr>
          <w:rStyle w:val="a5"/>
          <w:rFonts w:ascii="Verdana" w:hAnsi="Verdana"/>
          <w:sz w:val="22"/>
          <w:szCs w:val="22"/>
        </w:rPr>
        <w:footnoteReference w:id="3"/>
      </w:r>
      <w:r w:rsidRPr="00E63C1B">
        <w:rPr>
          <w:rFonts w:ascii="Verdana" w:hAnsi="Verdana"/>
          <w:sz w:val="22"/>
          <w:szCs w:val="22"/>
        </w:rPr>
        <w:t xml:space="preserve">, brings together smart, sustainable and inclusive growth objectives to territorial cohesion.  This provides the overall strategic framework for EU cohesion policy 2014-2020.  </w:t>
      </w:r>
    </w:p>
    <w:p w:rsidR="00C17DB5" w:rsidRPr="00E63C1B" w:rsidRDefault="00C17DB5" w:rsidP="000B06AD">
      <w:pPr>
        <w:pStyle w:val="a7"/>
        <w:spacing w:after="120" w:line="276" w:lineRule="auto"/>
        <w:rPr>
          <w:rFonts w:ascii="Verdana" w:hAnsi="Verdana"/>
          <w:sz w:val="22"/>
          <w:szCs w:val="22"/>
        </w:rPr>
      </w:pPr>
      <w:r w:rsidRPr="00E63C1B">
        <w:rPr>
          <w:rFonts w:ascii="Verdana" w:hAnsi="Verdana"/>
          <w:sz w:val="22"/>
          <w:szCs w:val="22"/>
        </w:rPr>
        <w:t xml:space="preserve">The importance </w:t>
      </w:r>
      <w:r w:rsidR="00B32F06" w:rsidRPr="00E63C1B">
        <w:rPr>
          <w:rFonts w:ascii="Verdana" w:hAnsi="Verdana"/>
          <w:sz w:val="22"/>
          <w:szCs w:val="22"/>
        </w:rPr>
        <w:t>o</w:t>
      </w:r>
      <w:r w:rsidRPr="00E63C1B">
        <w:rPr>
          <w:rFonts w:ascii="Verdana" w:hAnsi="Verdana"/>
          <w:sz w:val="22"/>
          <w:szCs w:val="22"/>
        </w:rPr>
        <w:t xml:space="preserve">f cities in helping reach Europe 2020 targets has to be underlined: a great proportion of GDP and jobs of Members States are found in cities. In turn cities are responsible for a great proportion of greenhouse emissions, and are where much of Europe’s poverty is concentrated.  </w:t>
      </w:r>
    </w:p>
    <w:p w:rsidR="00C17DB5" w:rsidRPr="00E63C1B" w:rsidRDefault="00C17DB5" w:rsidP="000B06AD">
      <w:pPr>
        <w:spacing w:after="120" w:line="276" w:lineRule="auto"/>
        <w:jc w:val="both"/>
        <w:rPr>
          <w:rFonts w:ascii="Verdana" w:hAnsi="Verdana"/>
          <w:sz w:val="22"/>
          <w:szCs w:val="22"/>
        </w:rPr>
      </w:pPr>
      <w:r w:rsidRPr="00E63C1B">
        <w:rPr>
          <w:rFonts w:ascii="Verdana" w:hAnsi="Verdana"/>
          <w:sz w:val="22"/>
          <w:szCs w:val="22"/>
        </w:rPr>
        <w:t xml:space="preserve">The European Territorial Cooperation Programme URBACT III will contribute to the Europe 2020 goals by providing a mechanism for stakeholders involved </w:t>
      </w:r>
      <w:r w:rsidR="00863912" w:rsidRPr="00E63C1B">
        <w:rPr>
          <w:rFonts w:ascii="Verdana" w:hAnsi="Verdana"/>
          <w:sz w:val="22"/>
          <w:szCs w:val="22"/>
        </w:rPr>
        <w:t>to</w:t>
      </w:r>
      <w:r w:rsidRPr="00E63C1B">
        <w:rPr>
          <w:rFonts w:ascii="Verdana" w:hAnsi="Verdana"/>
          <w:sz w:val="22"/>
          <w:szCs w:val="22"/>
        </w:rPr>
        <w:t xml:space="preserve"> develop and implement</w:t>
      </w:r>
      <w:r w:rsidR="00863912" w:rsidRPr="00E63C1B">
        <w:rPr>
          <w:rFonts w:ascii="Verdana" w:hAnsi="Verdana"/>
          <w:sz w:val="22"/>
          <w:szCs w:val="22"/>
        </w:rPr>
        <w:t xml:space="preserve"> better policies and actions for</w:t>
      </w:r>
      <w:r w:rsidRPr="00E63C1B">
        <w:rPr>
          <w:rFonts w:ascii="Verdana" w:hAnsi="Verdana"/>
          <w:sz w:val="22"/>
          <w:szCs w:val="22"/>
        </w:rPr>
        <w:t xml:space="preserve"> smart, inclusive and sustainable urban policy in cities</w:t>
      </w:r>
      <w:r w:rsidR="00721521" w:rsidRPr="00E63C1B">
        <w:rPr>
          <w:rFonts w:ascii="Verdana" w:hAnsi="Verdana"/>
          <w:sz w:val="22"/>
          <w:szCs w:val="22"/>
        </w:rPr>
        <w:t>.</w:t>
      </w:r>
    </w:p>
    <w:p w:rsidR="00C17DB5" w:rsidRPr="00E63C1B" w:rsidRDefault="00C17DB5" w:rsidP="000B06AD">
      <w:pPr>
        <w:spacing w:after="120" w:line="276" w:lineRule="auto"/>
        <w:jc w:val="both"/>
        <w:rPr>
          <w:rFonts w:ascii="Verdana" w:hAnsi="Verdana"/>
          <w:sz w:val="22"/>
          <w:szCs w:val="22"/>
        </w:rPr>
      </w:pPr>
      <w:r w:rsidRPr="00E63C1B">
        <w:rPr>
          <w:rFonts w:ascii="Verdana" w:hAnsi="Verdana"/>
          <w:sz w:val="22"/>
          <w:szCs w:val="22"/>
        </w:rPr>
        <w:t xml:space="preserve">The new knowledge and skills acquired from participation in the URBACT III programme will </w:t>
      </w:r>
      <w:r w:rsidR="00863912" w:rsidRPr="00E63C1B">
        <w:rPr>
          <w:rFonts w:ascii="Verdana" w:hAnsi="Verdana"/>
          <w:sz w:val="22"/>
          <w:szCs w:val="22"/>
        </w:rPr>
        <w:t xml:space="preserve">contribute to improve the management of European cities and make them stronger. </w:t>
      </w:r>
      <w:r w:rsidRPr="00E63C1B">
        <w:rPr>
          <w:rFonts w:ascii="Verdana" w:hAnsi="Verdana"/>
          <w:sz w:val="22"/>
          <w:szCs w:val="22"/>
        </w:rPr>
        <w:t xml:space="preserve">By stimulating the transfer of new and innovative ideas between the European cities it will be possible to tackle a range of emerging issues for cities linked to smart, sustainable and inclusive growth. </w:t>
      </w:r>
    </w:p>
    <w:p w:rsidR="000B06AD" w:rsidRDefault="000B06AD" w:rsidP="000B06AD">
      <w:pPr>
        <w:spacing w:after="120" w:line="276" w:lineRule="auto"/>
        <w:jc w:val="both"/>
        <w:rPr>
          <w:rFonts w:ascii="Verdana" w:hAnsi="Verdana"/>
          <w:b/>
          <w:sz w:val="22"/>
          <w:szCs w:val="22"/>
        </w:rPr>
      </w:pPr>
    </w:p>
    <w:p w:rsidR="00C17DB5" w:rsidRPr="00E63C1B" w:rsidRDefault="00C17DB5" w:rsidP="000B06AD">
      <w:pPr>
        <w:spacing w:after="120" w:line="276" w:lineRule="auto"/>
        <w:jc w:val="both"/>
        <w:rPr>
          <w:rFonts w:ascii="Verdana" w:hAnsi="Verdana"/>
          <w:b/>
          <w:sz w:val="22"/>
          <w:szCs w:val="22"/>
        </w:rPr>
      </w:pPr>
      <w:r w:rsidRPr="00E63C1B">
        <w:rPr>
          <w:rFonts w:ascii="Verdana" w:hAnsi="Verdana"/>
          <w:b/>
          <w:sz w:val="22"/>
          <w:szCs w:val="22"/>
        </w:rPr>
        <w:t>URBACT III in the legislative package for the programming period 2014-2020</w:t>
      </w:r>
    </w:p>
    <w:p w:rsidR="00C17DB5" w:rsidRPr="00E63C1B" w:rsidRDefault="00C17DB5" w:rsidP="000B06AD">
      <w:pPr>
        <w:spacing w:after="120" w:line="276" w:lineRule="auto"/>
        <w:jc w:val="both"/>
        <w:rPr>
          <w:rFonts w:ascii="Verdana" w:hAnsi="Verdana"/>
          <w:color w:val="000000"/>
          <w:sz w:val="22"/>
          <w:szCs w:val="22"/>
        </w:rPr>
      </w:pPr>
      <w:r w:rsidRPr="00E63C1B">
        <w:rPr>
          <w:rFonts w:ascii="Verdana" w:hAnsi="Verdana"/>
          <w:sz w:val="22"/>
          <w:szCs w:val="22"/>
        </w:rPr>
        <w:t>The regulatory framework for URBACT III is provided by the regulations for Cohesion policy</w:t>
      </w:r>
      <w:r w:rsidRPr="00E63C1B">
        <w:rPr>
          <w:rStyle w:val="a5"/>
          <w:rFonts w:ascii="Verdana" w:eastAsia="SimSun" w:hAnsi="Verdana"/>
          <w:sz w:val="22"/>
          <w:szCs w:val="22"/>
        </w:rPr>
        <w:footnoteReference w:id="4"/>
      </w:r>
      <w:r w:rsidRPr="00E63C1B">
        <w:rPr>
          <w:rFonts w:ascii="Verdana" w:hAnsi="Verdana"/>
          <w:sz w:val="22"/>
          <w:szCs w:val="22"/>
        </w:rPr>
        <w:t xml:space="preserve">. </w:t>
      </w:r>
      <w:r w:rsidRPr="00E63C1B">
        <w:rPr>
          <w:rFonts w:ascii="Verdana" w:hAnsi="Verdana"/>
          <w:color w:val="000000"/>
          <w:sz w:val="22"/>
          <w:szCs w:val="22"/>
        </w:rPr>
        <w:t>The regulations</w:t>
      </w:r>
      <w:r w:rsidRPr="00E63C1B">
        <w:rPr>
          <w:rStyle w:val="a5"/>
          <w:rFonts w:ascii="Verdana" w:eastAsia="SimSun" w:hAnsi="Verdana"/>
          <w:sz w:val="22"/>
          <w:szCs w:val="22"/>
        </w:rPr>
        <w:footnoteReference w:id="5"/>
      </w:r>
      <w:r w:rsidRPr="00E63C1B">
        <w:rPr>
          <w:rFonts w:ascii="Verdana" w:hAnsi="Verdana"/>
          <w:color w:val="000000"/>
          <w:sz w:val="22"/>
          <w:szCs w:val="22"/>
        </w:rPr>
        <w:t xml:space="preserve"> which will govern URBACT III is EU 1299/2013 which states in Article 2 (3) b that "ERDF supports interregional cooperation to strengthen the effectiveness of cohesion policy in promoting the exchange of experience concerning the identification, transfer and dissemination of good practices on sustainable urban development, including urban-rural linkages."</w:t>
      </w:r>
    </w:p>
    <w:p w:rsidR="00C17DB5" w:rsidRPr="00E63C1B" w:rsidRDefault="00C17DB5" w:rsidP="000B06AD">
      <w:pPr>
        <w:spacing w:after="120" w:line="276" w:lineRule="auto"/>
        <w:jc w:val="both"/>
        <w:rPr>
          <w:rFonts w:ascii="Verdana" w:hAnsi="Verdana"/>
          <w:color w:val="000000"/>
          <w:sz w:val="22"/>
          <w:szCs w:val="22"/>
        </w:rPr>
      </w:pPr>
      <w:r w:rsidRPr="00E63C1B">
        <w:rPr>
          <w:rFonts w:ascii="Verdana" w:hAnsi="Verdana"/>
          <w:sz w:val="22"/>
          <w:szCs w:val="22"/>
        </w:rPr>
        <w:t>The potential thematic scope of URBACT III is provided by the 11 thematic objectives described in Article 9 of the Common Provisions Regulation EU 1303/2013</w:t>
      </w:r>
      <w:r w:rsidRPr="00E63C1B">
        <w:rPr>
          <w:rFonts w:ascii="Verdana" w:hAnsi="Verdana"/>
          <w:i/>
          <w:sz w:val="22"/>
          <w:szCs w:val="22"/>
        </w:rPr>
        <w:t xml:space="preserve">. </w:t>
      </w:r>
      <w:r w:rsidRPr="00E63C1B">
        <w:rPr>
          <w:rFonts w:ascii="Verdana" w:hAnsi="Verdana"/>
          <w:sz w:val="22"/>
          <w:szCs w:val="22"/>
        </w:rPr>
        <w:t xml:space="preserve">A specific investment priority has been created for URBACT </w:t>
      </w:r>
      <w:r w:rsidRPr="00E63C1B">
        <w:rPr>
          <w:rFonts w:ascii="Verdana" w:hAnsi="Verdana"/>
          <w:color w:val="000000"/>
          <w:sz w:val="22"/>
          <w:szCs w:val="22"/>
        </w:rPr>
        <w:t xml:space="preserve">under thematic objective 11 ‘Enhancing institutional capacity and efficient public administration’ as outlined in Regulation EU 1299/2013 (ETC) Article 7 (1) (c) (ii): </w:t>
      </w:r>
    </w:p>
    <w:p w:rsidR="00C17DB5" w:rsidRPr="00E63C1B" w:rsidRDefault="00C17DB5" w:rsidP="000B06AD">
      <w:pPr>
        <w:spacing w:after="120" w:line="276" w:lineRule="auto"/>
        <w:jc w:val="both"/>
        <w:rPr>
          <w:rFonts w:ascii="Verdana" w:hAnsi="Verdana"/>
          <w:i/>
          <w:iCs/>
          <w:color w:val="000000"/>
          <w:sz w:val="22"/>
          <w:szCs w:val="22"/>
        </w:rPr>
      </w:pPr>
      <w:r w:rsidRPr="00E63C1B">
        <w:rPr>
          <w:rFonts w:ascii="Verdana" w:hAnsi="Verdana"/>
          <w:i/>
          <w:iCs/>
          <w:color w:val="000000"/>
          <w:sz w:val="22"/>
          <w:szCs w:val="22"/>
        </w:rPr>
        <w:t>‘Disseminating good practice and expertise and capitalising on the results of the exchange of experience in relation to sustainable urban development, including urban-rural linkages’</w:t>
      </w:r>
    </w:p>
    <w:p w:rsidR="00C17DB5" w:rsidRPr="00E63C1B" w:rsidRDefault="00C17DB5" w:rsidP="000B06AD">
      <w:pPr>
        <w:spacing w:after="120" w:line="276" w:lineRule="auto"/>
        <w:jc w:val="both"/>
        <w:rPr>
          <w:rFonts w:ascii="Verdana" w:hAnsi="Verdana"/>
          <w:i/>
          <w:color w:val="000000"/>
          <w:sz w:val="22"/>
          <w:szCs w:val="22"/>
        </w:rPr>
      </w:pPr>
    </w:p>
    <w:p w:rsidR="00C17DB5" w:rsidRPr="00E63C1B" w:rsidRDefault="00C17DB5" w:rsidP="000B06AD">
      <w:pPr>
        <w:spacing w:after="120" w:line="276" w:lineRule="auto"/>
        <w:jc w:val="both"/>
        <w:rPr>
          <w:rFonts w:ascii="Verdana" w:hAnsi="Verdana"/>
          <w:sz w:val="22"/>
          <w:szCs w:val="22"/>
        </w:rPr>
      </w:pPr>
      <w:r w:rsidRPr="00E63C1B">
        <w:rPr>
          <w:rFonts w:ascii="Verdana" w:hAnsi="Verdana"/>
          <w:b/>
          <w:sz w:val="22"/>
          <w:szCs w:val="22"/>
        </w:rPr>
        <w:t>The strengthened urban dimension in the Cohesion policy in 2014-2020</w:t>
      </w:r>
    </w:p>
    <w:p w:rsidR="00C17DB5" w:rsidRPr="00E63C1B" w:rsidRDefault="00C17DB5" w:rsidP="000B06AD">
      <w:pPr>
        <w:spacing w:after="120" w:line="276" w:lineRule="auto"/>
        <w:jc w:val="both"/>
        <w:rPr>
          <w:rFonts w:ascii="Verdana" w:hAnsi="Verdana"/>
          <w:sz w:val="22"/>
          <w:szCs w:val="22"/>
        </w:rPr>
      </w:pPr>
      <w:r w:rsidRPr="00E63C1B">
        <w:rPr>
          <w:rFonts w:ascii="Verdana" w:hAnsi="Verdana"/>
          <w:sz w:val="22"/>
          <w:szCs w:val="22"/>
        </w:rPr>
        <w:t>The ERDF regulations in the programming period 2014-2020 include tools and concepts that offer new opportunities for the urban dimension</w:t>
      </w:r>
      <w:r w:rsidRPr="00E63C1B">
        <w:rPr>
          <w:rStyle w:val="a5"/>
          <w:rFonts w:ascii="Verdana" w:eastAsia="SimSun" w:hAnsi="Verdana"/>
          <w:sz w:val="22"/>
          <w:szCs w:val="22"/>
        </w:rPr>
        <w:footnoteReference w:id="6"/>
      </w:r>
      <w:r w:rsidRPr="00E63C1B">
        <w:rPr>
          <w:rFonts w:ascii="Verdana" w:hAnsi="Verdana"/>
          <w:sz w:val="22"/>
          <w:szCs w:val="22"/>
        </w:rPr>
        <w:t xml:space="preserve">. </w:t>
      </w:r>
    </w:p>
    <w:p w:rsidR="00C17DB5" w:rsidRPr="00E63C1B" w:rsidRDefault="00C17DB5" w:rsidP="00D67ECF">
      <w:pPr>
        <w:numPr>
          <w:ilvl w:val="0"/>
          <w:numId w:val="3"/>
        </w:numPr>
        <w:spacing w:after="120" w:line="276" w:lineRule="auto"/>
        <w:jc w:val="both"/>
        <w:rPr>
          <w:rFonts w:ascii="Verdana" w:hAnsi="Verdana"/>
          <w:sz w:val="22"/>
          <w:szCs w:val="22"/>
        </w:rPr>
      </w:pPr>
      <w:r w:rsidRPr="00E63C1B">
        <w:rPr>
          <w:rFonts w:ascii="Verdana" w:hAnsi="Verdana"/>
          <w:sz w:val="22"/>
          <w:szCs w:val="22"/>
        </w:rPr>
        <w:t>Integrated sustainable urban development actions (either through Integrated Territorial Investments, or through specific urban development operational programmes or Priority Axes);</w:t>
      </w:r>
    </w:p>
    <w:p w:rsidR="00C17DB5" w:rsidRPr="00E63C1B" w:rsidRDefault="00C17DB5" w:rsidP="00D67ECF">
      <w:pPr>
        <w:numPr>
          <w:ilvl w:val="0"/>
          <w:numId w:val="3"/>
        </w:numPr>
        <w:spacing w:after="120" w:line="276" w:lineRule="auto"/>
        <w:jc w:val="both"/>
        <w:rPr>
          <w:rFonts w:ascii="Verdana" w:hAnsi="Verdana"/>
          <w:sz w:val="22"/>
          <w:szCs w:val="22"/>
        </w:rPr>
      </w:pPr>
      <w:r w:rsidRPr="00E63C1B">
        <w:rPr>
          <w:rFonts w:ascii="Verdana" w:hAnsi="Verdana"/>
          <w:sz w:val="22"/>
          <w:szCs w:val="22"/>
        </w:rPr>
        <w:t>Participatory approaches through Community Led Local Development following the LEADER model;</w:t>
      </w:r>
    </w:p>
    <w:p w:rsidR="00C17DB5" w:rsidRPr="00E63C1B" w:rsidRDefault="00C17DB5" w:rsidP="00D67ECF">
      <w:pPr>
        <w:numPr>
          <w:ilvl w:val="0"/>
          <w:numId w:val="3"/>
        </w:numPr>
        <w:spacing w:after="120" w:line="276" w:lineRule="auto"/>
        <w:jc w:val="both"/>
        <w:rPr>
          <w:rFonts w:ascii="Verdana" w:hAnsi="Verdana"/>
          <w:sz w:val="22"/>
          <w:szCs w:val="22"/>
        </w:rPr>
      </w:pPr>
      <w:r w:rsidRPr="00E63C1B">
        <w:rPr>
          <w:rFonts w:ascii="Verdana" w:hAnsi="Verdana"/>
          <w:sz w:val="22"/>
          <w:szCs w:val="22"/>
        </w:rPr>
        <w:t>Urban-rural partnerships.</w:t>
      </w:r>
    </w:p>
    <w:p w:rsidR="00C17DB5" w:rsidRPr="00E63C1B" w:rsidRDefault="00C17DB5" w:rsidP="000B06AD">
      <w:pPr>
        <w:spacing w:after="120" w:line="276" w:lineRule="auto"/>
        <w:jc w:val="both"/>
        <w:rPr>
          <w:rFonts w:ascii="Verdana" w:hAnsi="Verdana"/>
          <w:sz w:val="22"/>
          <w:szCs w:val="22"/>
        </w:rPr>
      </w:pPr>
      <w:r w:rsidRPr="00E63C1B">
        <w:rPr>
          <w:rFonts w:ascii="Verdana" w:hAnsi="Verdana"/>
          <w:sz w:val="22"/>
          <w:szCs w:val="22"/>
        </w:rPr>
        <w:t xml:space="preserve">URBACT will work with all </w:t>
      </w:r>
      <w:r w:rsidR="00863912" w:rsidRPr="00E63C1B">
        <w:rPr>
          <w:rFonts w:ascii="Verdana" w:hAnsi="Verdana"/>
          <w:sz w:val="22"/>
          <w:szCs w:val="22"/>
        </w:rPr>
        <w:t xml:space="preserve">types of </w:t>
      </w:r>
      <w:r w:rsidRPr="00E63C1B">
        <w:rPr>
          <w:rFonts w:ascii="Verdana" w:hAnsi="Verdana"/>
          <w:sz w:val="22"/>
          <w:szCs w:val="22"/>
        </w:rPr>
        <w:t>cities in Europe; the opportunity will be given to the cities to use the new urban tools proposed in the regulation of the Cohesion policy.</w:t>
      </w:r>
    </w:p>
    <w:p w:rsidR="005F04EA" w:rsidRPr="00E63C1B" w:rsidRDefault="00C17DB5" w:rsidP="000B06AD">
      <w:pPr>
        <w:shd w:val="clear" w:color="auto" w:fill="FFFFFF"/>
        <w:spacing w:after="120" w:line="276" w:lineRule="auto"/>
        <w:jc w:val="both"/>
        <w:rPr>
          <w:rFonts w:ascii="Verdana" w:hAnsi="Verdana"/>
          <w:color w:val="000000"/>
          <w:sz w:val="22"/>
          <w:szCs w:val="22"/>
        </w:rPr>
      </w:pPr>
      <w:r w:rsidRPr="00E63C1B">
        <w:rPr>
          <w:rFonts w:ascii="Verdana" w:hAnsi="Verdana"/>
          <w:sz w:val="22"/>
          <w:szCs w:val="22"/>
        </w:rPr>
        <w:t xml:space="preserve">Article 7 of the ERDF regulation requires </w:t>
      </w:r>
      <w:r w:rsidR="005F04EA" w:rsidRPr="00E63C1B">
        <w:rPr>
          <w:rFonts w:ascii="Verdana" w:hAnsi="Verdana"/>
          <w:sz w:val="22"/>
          <w:szCs w:val="22"/>
          <w:lang w:eastAsia="ja-JP"/>
        </w:rPr>
        <w:t>a minimum of 5% of ERDF resources per Member State to be allocated for 'integrated actions for sustainable urban development', with a degree of delegation to the urban authority level (the minimum requirement being selection of operations). This 5% can be spent through an Integrated Territorial Investment, a specific OP or a specific Priority Axis.</w:t>
      </w:r>
      <w:r w:rsidR="005F04EA" w:rsidRPr="00E63C1B">
        <w:rPr>
          <w:rFonts w:ascii="Verdana" w:hAnsi="Verdana"/>
          <w:color w:val="000000"/>
          <w:sz w:val="22"/>
          <w:szCs w:val="22"/>
        </w:rPr>
        <w:t xml:space="preserve"> </w:t>
      </w:r>
    </w:p>
    <w:p w:rsidR="001C6C27" w:rsidRPr="00E63C1B" w:rsidRDefault="00C17DB5" w:rsidP="000B06AD">
      <w:pPr>
        <w:shd w:val="clear" w:color="auto" w:fill="FFFFFF"/>
        <w:spacing w:after="120" w:line="276" w:lineRule="auto"/>
        <w:jc w:val="both"/>
        <w:rPr>
          <w:rFonts w:ascii="Verdana" w:hAnsi="Verdana"/>
          <w:sz w:val="22"/>
          <w:szCs w:val="22"/>
          <w:lang w:eastAsia="ja-JP"/>
        </w:rPr>
      </w:pPr>
      <w:r w:rsidRPr="00E63C1B">
        <w:rPr>
          <w:rFonts w:ascii="Verdana" w:hAnsi="Verdana"/>
          <w:color w:val="000000"/>
          <w:sz w:val="22"/>
          <w:szCs w:val="22"/>
        </w:rPr>
        <w:t xml:space="preserve">Article 8 </w:t>
      </w:r>
      <w:r w:rsidRPr="00E63C1B">
        <w:rPr>
          <w:rFonts w:ascii="Verdana" w:hAnsi="Verdana"/>
          <w:sz w:val="22"/>
          <w:szCs w:val="22"/>
        </w:rPr>
        <w:t xml:space="preserve">of the ERDF regulation </w:t>
      </w:r>
      <w:r w:rsidR="001C6C27" w:rsidRPr="00E63C1B">
        <w:rPr>
          <w:rFonts w:ascii="Verdana" w:hAnsi="Verdana"/>
          <w:sz w:val="22"/>
          <w:szCs w:val="22"/>
        </w:rPr>
        <w:t xml:space="preserve">concerns </w:t>
      </w:r>
      <w:r w:rsidR="001C6C27" w:rsidRPr="00E63C1B">
        <w:rPr>
          <w:rFonts w:ascii="Verdana" w:hAnsi="Verdana"/>
          <w:sz w:val="22"/>
          <w:szCs w:val="22"/>
          <w:lang w:eastAsia="ja-JP"/>
        </w:rPr>
        <w:t xml:space="preserve">a new initiative entitled Innovative Actions in the field of sustainable urban development which has been created in order to explore and demonstrate new </w:t>
      </w:r>
      <w:r w:rsidR="001C6C27" w:rsidRPr="00E63C1B">
        <w:rPr>
          <w:rFonts w:ascii="Verdana" w:hAnsi="Verdana"/>
          <w:sz w:val="22"/>
          <w:szCs w:val="22"/>
        </w:rPr>
        <w:t xml:space="preserve">solutions to urban challenges. </w:t>
      </w:r>
      <w:r w:rsidR="001C6C27" w:rsidRPr="00E63C1B">
        <w:rPr>
          <w:rFonts w:ascii="Verdana" w:hAnsi="Verdana"/>
          <w:sz w:val="22"/>
          <w:szCs w:val="22"/>
          <w:lang w:eastAsia="ja-JP"/>
        </w:rPr>
        <w:t xml:space="preserve">These Innovative Actions can take the form of pilot projects, demonstration projects or new urban experiments which are of European interest. 330 million EUR has been allocated to this initiative over the 2014-2020 period. </w:t>
      </w:r>
    </w:p>
    <w:p w:rsidR="00C17DB5" w:rsidRPr="00E63C1B" w:rsidRDefault="00C17DB5" w:rsidP="000B06AD">
      <w:pPr>
        <w:shd w:val="clear" w:color="auto" w:fill="FFFFFF"/>
        <w:spacing w:after="120" w:line="276" w:lineRule="auto"/>
        <w:jc w:val="both"/>
        <w:rPr>
          <w:rFonts w:ascii="Verdana" w:hAnsi="Verdana"/>
          <w:color w:val="000000"/>
          <w:sz w:val="22"/>
          <w:szCs w:val="22"/>
        </w:rPr>
      </w:pPr>
      <w:r w:rsidRPr="00E63C1B">
        <w:rPr>
          <w:rFonts w:ascii="Verdana" w:hAnsi="Verdana"/>
          <w:sz w:val="22"/>
          <w:szCs w:val="22"/>
        </w:rPr>
        <w:t xml:space="preserve">Article 9 of the ERDF regulation establishes an Urban Development Network (UDN) which aims to </w:t>
      </w:r>
      <w:r w:rsidR="00B72C2F" w:rsidRPr="00E63C1B">
        <w:rPr>
          <w:rFonts w:ascii="Verdana" w:hAnsi="Verdana"/>
          <w:sz w:val="22"/>
          <w:szCs w:val="22"/>
        </w:rPr>
        <w:t>facilitate direct dialogue</w:t>
      </w:r>
      <w:r w:rsidR="00B72C2F" w:rsidRPr="00E63C1B">
        <w:rPr>
          <w:rFonts w:ascii="Verdana" w:hAnsi="Verdana"/>
          <w:sz w:val="22"/>
          <w:szCs w:val="22"/>
          <w:lang w:eastAsia="ja-JP"/>
        </w:rPr>
        <w:t xml:space="preserve"> </w:t>
      </w:r>
      <w:r w:rsidR="00B72C2F" w:rsidRPr="00E63C1B">
        <w:rPr>
          <w:rFonts w:ascii="Verdana" w:hAnsi="Verdana"/>
          <w:sz w:val="22"/>
          <w:szCs w:val="22"/>
        </w:rPr>
        <w:t xml:space="preserve">and exchange with </w:t>
      </w:r>
      <w:r w:rsidR="00B72C2F" w:rsidRPr="00E63C1B">
        <w:rPr>
          <w:rFonts w:ascii="Verdana" w:hAnsi="Verdana"/>
          <w:color w:val="1F497D"/>
          <w:sz w:val="22"/>
          <w:szCs w:val="22"/>
        </w:rPr>
        <w:t>the</w:t>
      </w:r>
      <w:r w:rsidR="00B72C2F" w:rsidRPr="00E63C1B">
        <w:rPr>
          <w:rFonts w:ascii="Verdana" w:hAnsi="Verdana"/>
          <w:sz w:val="22"/>
          <w:szCs w:val="22"/>
        </w:rPr>
        <w:t xml:space="preserve"> urban </w:t>
      </w:r>
      <w:r w:rsidR="00B72C2F" w:rsidRPr="00E63C1B">
        <w:rPr>
          <w:rFonts w:ascii="Verdana" w:hAnsi="Verdana"/>
          <w:color w:val="000000" w:themeColor="text1"/>
          <w:sz w:val="22"/>
          <w:szCs w:val="22"/>
        </w:rPr>
        <w:t xml:space="preserve">authorities supported by the ERDF, either as part of the minimum 5% to integrated sustainable urban development (Article 7) or as part of the innovative actions (Article 8). </w:t>
      </w:r>
      <w:r w:rsidRPr="00E63C1B">
        <w:rPr>
          <w:rFonts w:ascii="Verdana" w:hAnsi="Verdana"/>
          <w:color w:val="000000" w:themeColor="text1"/>
          <w:sz w:val="22"/>
          <w:szCs w:val="22"/>
        </w:rPr>
        <w:t>The regulation also states that the activities of UR</w:t>
      </w:r>
      <w:r w:rsidRPr="00E63C1B">
        <w:rPr>
          <w:rFonts w:ascii="Verdana" w:hAnsi="Verdana"/>
          <w:color w:val="000000"/>
          <w:sz w:val="22"/>
          <w:szCs w:val="22"/>
        </w:rPr>
        <w:t>BACT III are complementary to those undertaken by the UDN.</w:t>
      </w:r>
    </w:p>
    <w:p w:rsidR="00C17DB5" w:rsidRPr="00E63C1B" w:rsidRDefault="00C17DB5" w:rsidP="000B06AD">
      <w:pPr>
        <w:spacing w:after="120" w:line="276" w:lineRule="auto"/>
        <w:jc w:val="both"/>
        <w:rPr>
          <w:rFonts w:ascii="Verdana" w:hAnsi="Verdana"/>
          <w:color w:val="000000"/>
          <w:sz w:val="22"/>
          <w:szCs w:val="22"/>
        </w:rPr>
      </w:pPr>
      <w:r w:rsidRPr="00E63C1B">
        <w:rPr>
          <w:rFonts w:ascii="Verdana" w:hAnsi="Verdana"/>
          <w:color w:val="000000"/>
          <w:sz w:val="22"/>
          <w:szCs w:val="22"/>
        </w:rPr>
        <w:t xml:space="preserve">During the programming period 2014-2020 URBACT III will support European cities to exchange and share experiences on sustainable urban development. URBACT III will complement the work undertaken by the UDN and will support cities implementing Article 7 for integrated approach to sustainable urban development. </w:t>
      </w:r>
    </w:p>
    <w:p w:rsidR="00C17DB5" w:rsidRPr="00E63C1B" w:rsidRDefault="00C17DB5" w:rsidP="000B06AD">
      <w:pPr>
        <w:spacing w:after="120" w:line="276" w:lineRule="auto"/>
        <w:jc w:val="both"/>
        <w:rPr>
          <w:rFonts w:ascii="Verdana" w:hAnsi="Verdana"/>
          <w:b/>
          <w:sz w:val="22"/>
          <w:szCs w:val="22"/>
        </w:rPr>
      </w:pPr>
    </w:p>
    <w:p w:rsidR="00C17DB5" w:rsidRPr="00334700" w:rsidRDefault="00C17DB5" w:rsidP="00334700">
      <w:pPr>
        <w:pStyle w:val="2"/>
        <w:ind w:left="57"/>
      </w:pPr>
      <w:bookmarkStart w:id="3" w:name="_Toc384648433"/>
      <w:r w:rsidRPr="00334700">
        <w:t>1.1.2 Urban context and the needs of cities</w:t>
      </w:r>
      <w:bookmarkEnd w:id="3"/>
      <w:r w:rsidRPr="00334700">
        <w:t xml:space="preserve"> </w:t>
      </w:r>
    </w:p>
    <w:p w:rsidR="00C17DB5" w:rsidRPr="000E4076" w:rsidRDefault="00C17DB5" w:rsidP="000B06AD">
      <w:pPr>
        <w:spacing w:after="120" w:line="276" w:lineRule="auto"/>
        <w:jc w:val="both"/>
        <w:rPr>
          <w:rFonts w:ascii="Verdana" w:hAnsi="Verdana"/>
          <w:sz w:val="22"/>
          <w:szCs w:val="22"/>
        </w:rPr>
      </w:pPr>
      <w:r w:rsidRPr="000E4076">
        <w:rPr>
          <w:rFonts w:ascii="Verdana" w:hAnsi="Verdana"/>
          <w:sz w:val="22"/>
          <w:szCs w:val="22"/>
        </w:rPr>
        <w:t xml:space="preserve">City are key drivers of national economic performance but also contain deep social and environmental challenges.  For this reason cities will be high on EU and national policy agendas.  URBACT III will build on URBACT I and II by keeping cities as the main beneficiaries of the programme. The main target participants will include practitioners, city managers, elected representatives and stakeholders from other public agencies, the private sector and civil society. </w:t>
      </w:r>
    </w:p>
    <w:p w:rsidR="00C17DB5" w:rsidRPr="000E4076" w:rsidRDefault="00C17DB5" w:rsidP="000B06AD">
      <w:pPr>
        <w:spacing w:after="120" w:line="276" w:lineRule="auto"/>
        <w:jc w:val="both"/>
        <w:rPr>
          <w:rFonts w:ascii="Verdana" w:hAnsi="Verdana"/>
          <w:sz w:val="22"/>
          <w:szCs w:val="22"/>
        </w:rPr>
      </w:pPr>
      <w:r w:rsidRPr="000E4076">
        <w:rPr>
          <w:rFonts w:ascii="Verdana" w:hAnsi="Verdana"/>
          <w:sz w:val="22"/>
          <w:szCs w:val="22"/>
          <w:lang w:eastAsia="ar-SA"/>
        </w:rPr>
        <w:t>Cities have a growing importance for Europe</w:t>
      </w:r>
      <w:r w:rsidR="00B72C2F" w:rsidRPr="000E4076">
        <w:rPr>
          <w:rFonts w:ascii="Verdana" w:hAnsi="Verdana"/>
          <w:sz w:val="22"/>
          <w:szCs w:val="22"/>
          <w:lang w:eastAsia="ar-SA"/>
        </w:rPr>
        <w:t>;</w:t>
      </w:r>
      <w:r w:rsidRPr="000E4076">
        <w:rPr>
          <w:rFonts w:ascii="Verdana" w:hAnsi="Verdana"/>
          <w:sz w:val="22"/>
          <w:szCs w:val="22"/>
          <w:lang w:eastAsia="ar-SA"/>
        </w:rPr>
        <w:t xml:space="preserve"> </w:t>
      </w:r>
      <w:r w:rsidR="00F239EE" w:rsidRPr="000E4076">
        <w:rPr>
          <w:rFonts w:ascii="Verdana" w:hAnsi="Verdana"/>
          <w:sz w:val="22"/>
          <w:szCs w:val="22"/>
        </w:rPr>
        <w:t xml:space="preserve">it </w:t>
      </w:r>
      <w:r w:rsidRPr="000E4076">
        <w:rPr>
          <w:rFonts w:ascii="Verdana" w:hAnsi="Verdana"/>
          <w:sz w:val="22"/>
          <w:szCs w:val="22"/>
        </w:rPr>
        <w:t xml:space="preserve">is estimated that in the </w:t>
      </w:r>
      <w:r w:rsidRPr="000E4076">
        <w:rPr>
          <w:rFonts w:ascii="Verdana" w:hAnsi="Verdana"/>
          <w:sz w:val="22"/>
          <w:szCs w:val="22"/>
          <w:lang w:eastAsia="ar-SA"/>
        </w:rPr>
        <w:t>programme area consisting of the 28 Member States and two Partner States</w:t>
      </w:r>
      <w:r w:rsidRPr="000E4076">
        <w:rPr>
          <w:rFonts w:ascii="Verdana" w:hAnsi="Verdana"/>
          <w:sz w:val="22"/>
          <w:szCs w:val="22"/>
        </w:rPr>
        <w:t>, around 70% of the EU population (approximately 350 million people) live in urban areas of more than 5 000 inhabitants and the share of the urban population under the total EU population continues to grow</w:t>
      </w:r>
      <w:r w:rsidRPr="000E4076">
        <w:rPr>
          <w:rStyle w:val="a5"/>
          <w:rFonts w:ascii="Verdana" w:eastAsia="SimSun" w:hAnsi="Verdana"/>
          <w:sz w:val="22"/>
          <w:szCs w:val="22"/>
        </w:rPr>
        <w:footnoteReference w:id="7"/>
      </w:r>
      <w:r w:rsidRPr="000E4076">
        <w:rPr>
          <w:rFonts w:ascii="Verdana" w:hAnsi="Verdana"/>
          <w:sz w:val="22"/>
          <w:szCs w:val="22"/>
        </w:rPr>
        <w:t>.</w:t>
      </w:r>
    </w:p>
    <w:p w:rsidR="00276D3A" w:rsidRPr="000E4076" w:rsidRDefault="00276D3A" w:rsidP="000B06AD">
      <w:pPr>
        <w:autoSpaceDE w:val="0"/>
        <w:autoSpaceDN w:val="0"/>
        <w:adjustRightInd w:val="0"/>
        <w:spacing w:after="120" w:line="276" w:lineRule="auto"/>
        <w:jc w:val="both"/>
        <w:rPr>
          <w:rFonts w:ascii="Verdana" w:hAnsi="Verdana"/>
          <w:sz w:val="22"/>
          <w:szCs w:val="22"/>
        </w:rPr>
      </w:pPr>
    </w:p>
    <w:p w:rsidR="00C17DB5" w:rsidRPr="000E4076" w:rsidRDefault="00C17DB5" w:rsidP="000B06AD">
      <w:pPr>
        <w:pStyle w:val="4"/>
        <w:spacing w:after="120"/>
        <w:rPr>
          <w:sz w:val="22"/>
          <w:szCs w:val="22"/>
        </w:rPr>
      </w:pPr>
      <w:r w:rsidRPr="000E4076">
        <w:rPr>
          <w:sz w:val="22"/>
          <w:szCs w:val="22"/>
        </w:rPr>
        <w:t xml:space="preserve">Europe, a continent with a polycentric urban structure. </w:t>
      </w:r>
    </w:p>
    <w:p w:rsidR="00C17DB5" w:rsidRPr="000E4076" w:rsidRDefault="00C17DB5" w:rsidP="000B06AD">
      <w:pPr>
        <w:spacing w:after="120" w:line="276" w:lineRule="auto"/>
        <w:jc w:val="both"/>
        <w:rPr>
          <w:rFonts w:ascii="Verdana" w:hAnsi="Verdana"/>
          <w:sz w:val="22"/>
          <w:szCs w:val="22"/>
        </w:rPr>
      </w:pPr>
      <w:r w:rsidRPr="000E4076">
        <w:rPr>
          <w:rFonts w:ascii="Verdana" w:hAnsi="Verdana"/>
          <w:sz w:val="22"/>
          <w:szCs w:val="22"/>
        </w:rPr>
        <w:t>Europe’s urban structure is important for the delivery of the URBACT programme. Europe is characterised by a more polycentric and less concentrated urban structure compared to the USA or China</w:t>
      </w:r>
      <w:r w:rsidRPr="000E4076">
        <w:rPr>
          <w:rStyle w:val="a5"/>
          <w:rFonts w:ascii="Verdana" w:eastAsia="SimSun" w:hAnsi="Verdana"/>
          <w:sz w:val="22"/>
          <w:szCs w:val="22"/>
        </w:rPr>
        <w:footnoteReference w:id="8"/>
      </w:r>
      <w:r w:rsidRPr="000E4076">
        <w:rPr>
          <w:rFonts w:ascii="Verdana" w:hAnsi="Verdana"/>
          <w:sz w:val="22"/>
          <w:szCs w:val="22"/>
        </w:rPr>
        <w:t xml:space="preserve">.  </w:t>
      </w:r>
    </w:p>
    <w:p w:rsidR="00C17DB5" w:rsidRPr="000E4076" w:rsidRDefault="00C17DB5" w:rsidP="000B06AD">
      <w:pPr>
        <w:spacing w:after="120" w:line="276" w:lineRule="auto"/>
        <w:jc w:val="both"/>
        <w:rPr>
          <w:rFonts w:ascii="Verdana" w:hAnsi="Verdana"/>
          <w:sz w:val="22"/>
          <w:szCs w:val="22"/>
        </w:rPr>
      </w:pPr>
      <w:r w:rsidRPr="000E4076">
        <w:rPr>
          <w:rFonts w:ascii="Verdana" w:hAnsi="Verdana"/>
          <w:sz w:val="22"/>
          <w:szCs w:val="22"/>
        </w:rPr>
        <w:t xml:space="preserve">Table 1 shows the distribution on a new basis calculated according to density of population.   Compared to these countries, Europe has fewer cities </w:t>
      </w:r>
      <w:r w:rsidR="00F239EE" w:rsidRPr="000E4076">
        <w:rPr>
          <w:rFonts w:ascii="Verdana" w:hAnsi="Verdana"/>
          <w:sz w:val="22"/>
          <w:szCs w:val="22"/>
        </w:rPr>
        <w:t xml:space="preserve">with one million inhabitants </w:t>
      </w:r>
      <w:r w:rsidRPr="000E4076">
        <w:rPr>
          <w:rFonts w:ascii="Verdana" w:hAnsi="Verdana"/>
          <w:sz w:val="22"/>
          <w:szCs w:val="22"/>
        </w:rPr>
        <w:t xml:space="preserve">- only 12% of the EU population lives in the 23 cities with over 1 million inhabitants and 22% live in cities with more than 250,000. Under this definition, 13% of Europe’s population live in 611 medium sized cities while 32% live in suburbs and small towns with a population over 5000.  </w:t>
      </w:r>
    </w:p>
    <w:p w:rsidR="00C17DB5" w:rsidRPr="000E4076" w:rsidRDefault="00C17DB5" w:rsidP="000B06AD">
      <w:pPr>
        <w:spacing w:after="120" w:line="276" w:lineRule="auto"/>
        <w:jc w:val="both"/>
        <w:rPr>
          <w:rFonts w:ascii="Verdana" w:eastAsia="Calibri" w:hAnsi="Verdana"/>
          <w:sz w:val="22"/>
          <w:szCs w:val="22"/>
        </w:rPr>
      </w:pPr>
      <w:r w:rsidRPr="000E4076">
        <w:rPr>
          <w:rFonts w:ascii="Verdana" w:hAnsi="Verdana"/>
          <w:sz w:val="22"/>
          <w:szCs w:val="22"/>
        </w:rPr>
        <w:t>URBACT will respect the diversity of European settlement system and will target all kind of European cities and towns</w:t>
      </w:r>
      <w:r w:rsidRPr="000E4076">
        <w:rPr>
          <w:rFonts w:ascii="Verdana" w:eastAsia="Calibri" w:hAnsi="Verdana"/>
          <w:sz w:val="22"/>
          <w:szCs w:val="22"/>
        </w:rPr>
        <w:t xml:space="preserve"> including smaller and medium sized cities which tend to have less capacity and fewer specialised staff.  </w:t>
      </w:r>
    </w:p>
    <w:p w:rsidR="00C17DB5" w:rsidRPr="000E4076" w:rsidRDefault="00C17DB5" w:rsidP="000B06AD">
      <w:pPr>
        <w:spacing w:after="120" w:line="276" w:lineRule="auto"/>
        <w:jc w:val="both"/>
        <w:rPr>
          <w:rFonts w:ascii="Verdana" w:eastAsia="Calibri" w:hAnsi="Verdana"/>
          <w:sz w:val="22"/>
          <w:szCs w:val="22"/>
        </w:rPr>
      </w:pPr>
    </w:p>
    <w:p w:rsidR="00C17DB5" w:rsidRDefault="00C17DB5" w:rsidP="000B06AD">
      <w:pPr>
        <w:pStyle w:val="aa"/>
        <w:keepNext/>
        <w:spacing w:after="120"/>
        <w:jc w:val="both"/>
        <w:rPr>
          <w:rFonts w:ascii="Verdana" w:hAnsi="Verdana"/>
          <w:sz w:val="22"/>
          <w:szCs w:val="22"/>
        </w:rPr>
      </w:pPr>
      <w:r w:rsidRPr="000E4076">
        <w:rPr>
          <w:rFonts w:ascii="Verdana" w:hAnsi="Verdana"/>
          <w:sz w:val="22"/>
          <w:szCs w:val="22"/>
        </w:rPr>
        <w:t xml:space="preserve">Table </w:t>
      </w:r>
      <w:r w:rsidR="00060EF2" w:rsidRPr="000E4076">
        <w:rPr>
          <w:rFonts w:ascii="Verdana" w:hAnsi="Verdana"/>
          <w:sz w:val="22"/>
          <w:szCs w:val="22"/>
        </w:rPr>
        <w:fldChar w:fldCharType="begin"/>
      </w:r>
      <w:r w:rsidRPr="000E4076">
        <w:rPr>
          <w:rFonts w:ascii="Verdana" w:hAnsi="Verdana"/>
          <w:sz w:val="22"/>
          <w:szCs w:val="22"/>
        </w:rPr>
        <w:instrText xml:space="preserve"> </w:instrText>
      </w:r>
      <w:r w:rsidR="00E465D9" w:rsidRPr="000E4076">
        <w:rPr>
          <w:rFonts w:ascii="Verdana" w:hAnsi="Verdana"/>
          <w:sz w:val="22"/>
          <w:szCs w:val="22"/>
        </w:rPr>
        <w:instrText>SEQ</w:instrText>
      </w:r>
      <w:r w:rsidRPr="000E4076">
        <w:rPr>
          <w:rFonts w:ascii="Verdana" w:hAnsi="Verdana"/>
          <w:sz w:val="22"/>
          <w:szCs w:val="22"/>
        </w:rPr>
        <w:instrText xml:space="preserve"> Table \* ARABIC </w:instrText>
      </w:r>
      <w:r w:rsidR="00060EF2" w:rsidRPr="000E4076">
        <w:rPr>
          <w:rFonts w:ascii="Verdana" w:hAnsi="Verdana"/>
          <w:sz w:val="22"/>
          <w:szCs w:val="22"/>
        </w:rPr>
        <w:fldChar w:fldCharType="separate"/>
      </w:r>
      <w:r w:rsidR="002C2DDD">
        <w:rPr>
          <w:rFonts w:ascii="Verdana" w:hAnsi="Verdana"/>
          <w:noProof/>
          <w:sz w:val="22"/>
          <w:szCs w:val="22"/>
        </w:rPr>
        <w:t>1</w:t>
      </w:r>
      <w:r w:rsidR="00060EF2" w:rsidRPr="000E4076">
        <w:rPr>
          <w:rFonts w:ascii="Verdana" w:hAnsi="Verdana"/>
          <w:sz w:val="22"/>
          <w:szCs w:val="22"/>
        </w:rPr>
        <w:fldChar w:fldCharType="end"/>
      </w:r>
      <w:r w:rsidRPr="000E4076">
        <w:rPr>
          <w:rFonts w:ascii="Verdana" w:hAnsi="Verdana"/>
          <w:sz w:val="22"/>
          <w:szCs w:val="22"/>
        </w:rPr>
        <w:t>: EU27 cities defined according to their density of population</w:t>
      </w:r>
      <w:r w:rsidRPr="000E4076">
        <w:rPr>
          <w:rStyle w:val="a5"/>
          <w:rFonts w:ascii="Verdana" w:hAnsi="Verdana"/>
          <w:sz w:val="22"/>
          <w:szCs w:val="22"/>
        </w:rPr>
        <w:footnoteReference w:id="9"/>
      </w:r>
    </w:p>
    <w:p w:rsidR="00A72D85" w:rsidRPr="00A72D85" w:rsidRDefault="00A72D85" w:rsidP="00A72D85">
      <w:pPr>
        <w:rPr>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1701"/>
        <w:gridCol w:w="1842"/>
        <w:gridCol w:w="2127"/>
      </w:tblGrid>
      <w:tr w:rsidR="00C17DB5" w:rsidRPr="000E4076" w:rsidTr="000E4076">
        <w:trPr>
          <w:jc w:val="center"/>
        </w:trPr>
        <w:tc>
          <w:tcPr>
            <w:tcW w:w="1838" w:type="dxa"/>
            <w:vAlign w:val="center"/>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Population class 000s</w:t>
            </w:r>
          </w:p>
        </w:tc>
        <w:tc>
          <w:tcPr>
            <w:tcW w:w="1418" w:type="dxa"/>
            <w:vAlign w:val="center"/>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Category</w:t>
            </w:r>
          </w:p>
        </w:tc>
        <w:tc>
          <w:tcPr>
            <w:tcW w:w="1701" w:type="dxa"/>
            <w:vAlign w:val="center"/>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No of cities</w:t>
            </w:r>
          </w:p>
        </w:tc>
        <w:tc>
          <w:tcPr>
            <w:tcW w:w="1842" w:type="dxa"/>
            <w:vAlign w:val="center"/>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Population in size class</w:t>
            </w:r>
          </w:p>
        </w:tc>
        <w:tc>
          <w:tcPr>
            <w:tcW w:w="2127" w:type="dxa"/>
            <w:vAlign w:val="center"/>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 of total population</w:t>
            </w:r>
          </w:p>
        </w:tc>
      </w:tr>
      <w:tr w:rsidR="00C17DB5" w:rsidRPr="000E4076" w:rsidTr="00026F8F">
        <w:trPr>
          <w:jc w:val="center"/>
        </w:trPr>
        <w:tc>
          <w:tcPr>
            <w:tcW w:w="1838"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&gt;1 million</w:t>
            </w:r>
          </w:p>
        </w:tc>
        <w:tc>
          <w:tcPr>
            <w:tcW w:w="1418"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Large</w:t>
            </w:r>
          </w:p>
        </w:tc>
        <w:tc>
          <w:tcPr>
            <w:tcW w:w="1701"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23</w:t>
            </w:r>
          </w:p>
        </w:tc>
        <w:tc>
          <w:tcPr>
            <w:tcW w:w="1842"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59.2m</w:t>
            </w:r>
          </w:p>
        </w:tc>
        <w:tc>
          <w:tcPr>
            <w:tcW w:w="2127"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12.3</w:t>
            </w:r>
          </w:p>
        </w:tc>
      </w:tr>
      <w:tr w:rsidR="00C17DB5" w:rsidRPr="000E4076" w:rsidTr="00026F8F">
        <w:trPr>
          <w:jc w:val="center"/>
        </w:trPr>
        <w:tc>
          <w:tcPr>
            <w:tcW w:w="1838"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500-1000</w:t>
            </w:r>
          </w:p>
        </w:tc>
        <w:tc>
          <w:tcPr>
            <w:tcW w:w="1418"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Large</w:t>
            </w:r>
          </w:p>
        </w:tc>
        <w:tc>
          <w:tcPr>
            <w:tcW w:w="1701"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36</w:t>
            </w:r>
          </w:p>
        </w:tc>
        <w:tc>
          <w:tcPr>
            <w:tcW w:w="1842"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27.04m</w:t>
            </w:r>
          </w:p>
        </w:tc>
        <w:tc>
          <w:tcPr>
            <w:tcW w:w="2127"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5.6</w:t>
            </w:r>
          </w:p>
        </w:tc>
      </w:tr>
      <w:tr w:rsidR="00C17DB5" w:rsidRPr="000E4076" w:rsidTr="00026F8F">
        <w:trPr>
          <w:jc w:val="center"/>
        </w:trPr>
        <w:tc>
          <w:tcPr>
            <w:tcW w:w="1838"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250-500</w:t>
            </w:r>
          </w:p>
        </w:tc>
        <w:tc>
          <w:tcPr>
            <w:tcW w:w="1418"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large</w:t>
            </w:r>
          </w:p>
        </w:tc>
        <w:tc>
          <w:tcPr>
            <w:tcW w:w="1701"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62</w:t>
            </w:r>
          </w:p>
        </w:tc>
        <w:tc>
          <w:tcPr>
            <w:tcW w:w="1842"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21.21m</w:t>
            </w:r>
          </w:p>
        </w:tc>
        <w:tc>
          <w:tcPr>
            <w:tcW w:w="2127"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4.4</w:t>
            </w:r>
          </w:p>
        </w:tc>
      </w:tr>
      <w:tr w:rsidR="00C17DB5" w:rsidRPr="000E4076" w:rsidTr="00026F8F">
        <w:trPr>
          <w:jc w:val="center"/>
        </w:trPr>
        <w:tc>
          <w:tcPr>
            <w:tcW w:w="1838"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100-250</w:t>
            </w:r>
          </w:p>
        </w:tc>
        <w:tc>
          <w:tcPr>
            <w:tcW w:w="1418"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Medium</w:t>
            </w:r>
          </w:p>
        </w:tc>
        <w:tc>
          <w:tcPr>
            <w:tcW w:w="1701"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224</w:t>
            </w:r>
          </w:p>
        </w:tc>
        <w:tc>
          <w:tcPr>
            <w:tcW w:w="1842"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35.71m</w:t>
            </w:r>
          </w:p>
        </w:tc>
        <w:tc>
          <w:tcPr>
            <w:tcW w:w="2127"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7.4</w:t>
            </w:r>
          </w:p>
        </w:tc>
      </w:tr>
      <w:tr w:rsidR="00C17DB5" w:rsidRPr="000E4076" w:rsidTr="00026F8F">
        <w:trPr>
          <w:jc w:val="center"/>
        </w:trPr>
        <w:tc>
          <w:tcPr>
            <w:tcW w:w="1838"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50-100</w:t>
            </w:r>
          </w:p>
        </w:tc>
        <w:tc>
          <w:tcPr>
            <w:tcW w:w="1418"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Medium</w:t>
            </w:r>
          </w:p>
        </w:tc>
        <w:tc>
          <w:tcPr>
            <w:tcW w:w="1701"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387</w:t>
            </w:r>
          </w:p>
        </w:tc>
        <w:tc>
          <w:tcPr>
            <w:tcW w:w="1842"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26.69m</w:t>
            </w:r>
          </w:p>
        </w:tc>
        <w:tc>
          <w:tcPr>
            <w:tcW w:w="2127"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5.6</w:t>
            </w:r>
          </w:p>
        </w:tc>
      </w:tr>
      <w:tr w:rsidR="00C17DB5" w:rsidRPr="000E4076" w:rsidTr="00026F8F">
        <w:trPr>
          <w:jc w:val="center"/>
        </w:trPr>
        <w:tc>
          <w:tcPr>
            <w:tcW w:w="1838"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Towns and suburbs</w:t>
            </w:r>
          </w:p>
        </w:tc>
        <w:tc>
          <w:tcPr>
            <w:tcW w:w="1418"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Small and suburban</w:t>
            </w:r>
          </w:p>
        </w:tc>
        <w:tc>
          <w:tcPr>
            <w:tcW w:w="1701"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Not applicable</w:t>
            </w:r>
          </w:p>
        </w:tc>
        <w:tc>
          <w:tcPr>
            <w:tcW w:w="1842"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156.40m</w:t>
            </w:r>
          </w:p>
        </w:tc>
        <w:tc>
          <w:tcPr>
            <w:tcW w:w="2127"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32.6</w:t>
            </w:r>
          </w:p>
        </w:tc>
      </w:tr>
      <w:tr w:rsidR="00C17DB5" w:rsidRPr="000E4076" w:rsidTr="00026F8F">
        <w:trPr>
          <w:jc w:val="center"/>
        </w:trPr>
        <w:tc>
          <w:tcPr>
            <w:tcW w:w="1838"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Rural population</w:t>
            </w:r>
          </w:p>
        </w:tc>
        <w:tc>
          <w:tcPr>
            <w:tcW w:w="1418"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Rural (including very small towns)</w:t>
            </w:r>
          </w:p>
        </w:tc>
        <w:tc>
          <w:tcPr>
            <w:tcW w:w="1701"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Not applicable</w:t>
            </w:r>
          </w:p>
        </w:tc>
        <w:tc>
          <w:tcPr>
            <w:tcW w:w="1842"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154.16m</w:t>
            </w:r>
          </w:p>
        </w:tc>
        <w:tc>
          <w:tcPr>
            <w:tcW w:w="2127"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32.1</w:t>
            </w:r>
          </w:p>
        </w:tc>
      </w:tr>
      <w:tr w:rsidR="00C17DB5" w:rsidRPr="000E4076" w:rsidTr="00026F8F">
        <w:trPr>
          <w:jc w:val="center"/>
        </w:trPr>
        <w:tc>
          <w:tcPr>
            <w:tcW w:w="1838"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Total</w:t>
            </w:r>
          </w:p>
        </w:tc>
        <w:tc>
          <w:tcPr>
            <w:tcW w:w="1418" w:type="dxa"/>
          </w:tcPr>
          <w:p w:rsidR="00C17DB5" w:rsidRPr="000E4076" w:rsidRDefault="00C17DB5" w:rsidP="000E4076">
            <w:pPr>
              <w:jc w:val="center"/>
              <w:rPr>
                <w:rFonts w:ascii="Verdana" w:eastAsia="Calibri" w:hAnsi="Verdana"/>
                <w:sz w:val="20"/>
                <w:szCs w:val="20"/>
              </w:rPr>
            </w:pPr>
          </w:p>
        </w:tc>
        <w:tc>
          <w:tcPr>
            <w:tcW w:w="1701"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732</w:t>
            </w:r>
          </w:p>
        </w:tc>
        <w:tc>
          <w:tcPr>
            <w:tcW w:w="1842"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480 .47m</w:t>
            </w:r>
          </w:p>
        </w:tc>
        <w:tc>
          <w:tcPr>
            <w:tcW w:w="2127" w:type="dxa"/>
          </w:tcPr>
          <w:p w:rsidR="00C17DB5" w:rsidRPr="000E4076" w:rsidRDefault="00C17DB5" w:rsidP="000E4076">
            <w:pPr>
              <w:jc w:val="center"/>
              <w:rPr>
                <w:rFonts w:ascii="Verdana" w:eastAsia="Calibri" w:hAnsi="Verdana"/>
                <w:sz w:val="20"/>
                <w:szCs w:val="20"/>
              </w:rPr>
            </w:pPr>
            <w:r w:rsidRPr="000E4076">
              <w:rPr>
                <w:rFonts w:ascii="Verdana" w:eastAsia="Calibri" w:hAnsi="Verdana"/>
                <w:sz w:val="20"/>
                <w:szCs w:val="20"/>
              </w:rPr>
              <w:t>100%</w:t>
            </w:r>
          </w:p>
        </w:tc>
      </w:tr>
    </w:tbl>
    <w:p w:rsidR="00C17DB5" w:rsidRPr="004F5F2B" w:rsidRDefault="00C17DB5" w:rsidP="00C17DB5">
      <w:pPr>
        <w:jc w:val="both"/>
        <w:rPr>
          <w:rFonts w:ascii="Verdana" w:eastAsia="Calibri" w:hAnsi="Verdana"/>
          <w:sz w:val="20"/>
          <w:szCs w:val="20"/>
        </w:rPr>
      </w:pPr>
    </w:p>
    <w:p w:rsidR="000B06AD" w:rsidRDefault="000B06AD" w:rsidP="00C17DB5">
      <w:pPr>
        <w:jc w:val="both"/>
        <w:rPr>
          <w:rFonts w:ascii="Verdana" w:eastAsia="Calibri" w:hAnsi="Verdana"/>
          <w:sz w:val="22"/>
          <w:szCs w:val="22"/>
        </w:rPr>
      </w:pPr>
    </w:p>
    <w:p w:rsidR="00C17DB5" w:rsidRPr="000E4076" w:rsidRDefault="00C17DB5" w:rsidP="00C17DB5">
      <w:pPr>
        <w:jc w:val="both"/>
        <w:rPr>
          <w:rFonts w:ascii="Verdana" w:eastAsia="Calibri" w:hAnsi="Verdana"/>
          <w:sz w:val="22"/>
          <w:szCs w:val="22"/>
        </w:rPr>
      </w:pPr>
      <w:r w:rsidRPr="000E4076">
        <w:rPr>
          <w:rFonts w:ascii="Verdana" w:eastAsia="Calibri" w:hAnsi="Verdana"/>
          <w:sz w:val="22"/>
          <w:szCs w:val="22"/>
        </w:rPr>
        <w:t>Figure 1 below shows in map form the polycentric nature of the continent’s urban system.</w:t>
      </w:r>
    </w:p>
    <w:p w:rsidR="00C17DB5" w:rsidRPr="004F5F2B" w:rsidRDefault="00C17DB5" w:rsidP="00C17DB5">
      <w:pPr>
        <w:jc w:val="both"/>
        <w:rPr>
          <w:rFonts w:ascii="Verdana" w:eastAsia="Calibri" w:hAnsi="Verdana"/>
          <w:sz w:val="20"/>
          <w:szCs w:val="20"/>
        </w:rPr>
      </w:pPr>
    </w:p>
    <w:p w:rsidR="00C17DB5" w:rsidRPr="00A30018" w:rsidRDefault="00C17DB5" w:rsidP="00C17DB5">
      <w:pPr>
        <w:pStyle w:val="aa"/>
        <w:keepNext/>
        <w:jc w:val="both"/>
        <w:rPr>
          <w:rFonts w:ascii="Verdana" w:hAnsi="Verdana"/>
          <w:sz w:val="22"/>
          <w:szCs w:val="22"/>
        </w:rPr>
      </w:pPr>
      <w:r w:rsidRPr="00A30018">
        <w:rPr>
          <w:rFonts w:ascii="Verdana" w:hAnsi="Verdana"/>
          <w:sz w:val="22"/>
          <w:szCs w:val="22"/>
        </w:rPr>
        <w:t xml:space="preserve">Figure </w:t>
      </w:r>
      <w:r w:rsidR="00060EF2" w:rsidRPr="00A30018">
        <w:rPr>
          <w:rFonts w:ascii="Verdana" w:hAnsi="Verdana"/>
          <w:sz w:val="22"/>
          <w:szCs w:val="22"/>
        </w:rPr>
        <w:fldChar w:fldCharType="begin"/>
      </w:r>
      <w:r w:rsidRPr="00A30018">
        <w:rPr>
          <w:rFonts w:ascii="Verdana" w:hAnsi="Verdana"/>
          <w:sz w:val="22"/>
          <w:szCs w:val="22"/>
        </w:rPr>
        <w:instrText xml:space="preserve"> </w:instrText>
      </w:r>
      <w:r w:rsidR="00E465D9" w:rsidRPr="00A30018">
        <w:rPr>
          <w:rFonts w:ascii="Verdana" w:hAnsi="Verdana"/>
          <w:sz w:val="22"/>
          <w:szCs w:val="22"/>
        </w:rPr>
        <w:instrText>SEQ</w:instrText>
      </w:r>
      <w:r w:rsidRPr="00A30018">
        <w:rPr>
          <w:rFonts w:ascii="Verdana" w:hAnsi="Verdana"/>
          <w:sz w:val="22"/>
          <w:szCs w:val="22"/>
        </w:rPr>
        <w:instrText xml:space="preserve"> Figure \* ARABIC </w:instrText>
      </w:r>
      <w:r w:rsidR="00060EF2" w:rsidRPr="00A30018">
        <w:rPr>
          <w:rFonts w:ascii="Verdana" w:hAnsi="Verdana"/>
          <w:sz w:val="22"/>
          <w:szCs w:val="22"/>
        </w:rPr>
        <w:fldChar w:fldCharType="separate"/>
      </w:r>
      <w:r w:rsidR="002C2DDD">
        <w:rPr>
          <w:rFonts w:ascii="Verdana" w:hAnsi="Verdana"/>
          <w:noProof/>
          <w:sz w:val="22"/>
          <w:szCs w:val="22"/>
        </w:rPr>
        <w:t>1</w:t>
      </w:r>
      <w:r w:rsidR="00060EF2" w:rsidRPr="00A30018">
        <w:rPr>
          <w:rFonts w:ascii="Verdana" w:hAnsi="Verdana"/>
          <w:sz w:val="22"/>
          <w:szCs w:val="22"/>
        </w:rPr>
        <w:fldChar w:fldCharType="end"/>
      </w:r>
      <w:r w:rsidRPr="00A30018">
        <w:rPr>
          <w:rFonts w:ascii="Verdana" w:hAnsi="Verdana"/>
          <w:sz w:val="22"/>
          <w:szCs w:val="22"/>
        </w:rPr>
        <w:t xml:space="preserve">: Typology of European functional Urban Areas </w:t>
      </w:r>
    </w:p>
    <w:p w:rsidR="00C17DB5" w:rsidRPr="004F5F2B" w:rsidRDefault="00EF40E4" w:rsidP="00C17DB5">
      <w:pPr>
        <w:autoSpaceDE w:val="0"/>
        <w:autoSpaceDN w:val="0"/>
        <w:adjustRightInd w:val="0"/>
        <w:spacing w:after="2"/>
        <w:jc w:val="both"/>
        <w:rPr>
          <w:rFonts w:ascii="Verdana" w:hAnsi="Verdana"/>
          <w:sz w:val="20"/>
          <w:szCs w:val="20"/>
        </w:rPr>
      </w:pPr>
      <w:r w:rsidRPr="004F5F2B">
        <w:rPr>
          <w:noProof/>
          <w:lang w:val="bg-BG" w:eastAsia="bg-BG"/>
        </w:rPr>
        <w:drawing>
          <wp:inline distT="0" distB="0" distL="0" distR="0">
            <wp:extent cx="5757545" cy="711454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1" cstate="print"/>
                    <a:srcRect/>
                    <a:stretch>
                      <a:fillRect/>
                    </a:stretch>
                  </pic:blipFill>
                  <pic:spPr bwMode="auto">
                    <a:xfrm>
                      <a:off x="0" y="0"/>
                      <a:ext cx="5757545" cy="7114540"/>
                    </a:xfrm>
                    <a:prstGeom prst="rect">
                      <a:avLst/>
                    </a:prstGeom>
                    <a:noFill/>
                    <a:ln w="9525">
                      <a:noFill/>
                      <a:miter lim="800000"/>
                      <a:headEnd/>
                      <a:tailEnd/>
                    </a:ln>
                  </pic:spPr>
                </pic:pic>
              </a:graphicData>
            </a:graphic>
          </wp:inline>
        </w:drawing>
      </w:r>
    </w:p>
    <w:p w:rsidR="00C17DB5" w:rsidRPr="004F5F2B" w:rsidRDefault="00C17DB5" w:rsidP="00C17DB5">
      <w:pPr>
        <w:autoSpaceDE w:val="0"/>
        <w:autoSpaceDN w:val="0"/>
        <w:adjustRightInd w:val="0"/>
        <w:spacing w:after="2"/>
        <w:jc w:val="both"/>
        <w:rPr>
          <w:rFonts w:ascii="Verdana" w:hAnsi="Verdana"/>
          <w:sz w:val="20"/>
          <w:szCs w:val="20"/>
        </w:rPr>
      </w:pPr>
    </w:p>
    <w:p w:rsidR="00C17DB5" w:rsidRPr="004F5F2B" w:rsidRDefault="00C17DB5" w:rsidP="00C17DB5">
      <w:pPr>
        <w:autoSpaceDE w:val="0"/>
        <w:autoSpaceDN w:val="0"/>
        <w:adjustRightInd w:val="0"/>
        <w:spacing w:after="2"/>
        <w:jc w:val="both"/>
        <w:rPr>
          <w:rFonts w:ascii="Verdana" w:hAnsi="Verdana"/>
          <w:sz w:val="20"/>
          <w:szCs w:val="20"/>
        </w:rPr>
      </w:pPr>
    </w:p>
    <w:p w:rsidR="00C17DB5" w:rsidRPr="004F5F2B" w:rsidRDefault="00C17DB5" w:rsidP="00C17DB5">
      <w:pPr>
        <w:pStyle w:val="4"/>
      </w:pPr>
    </w:p>
    <w:p w:rsidR="00C17DB5" w:rsidRPr="004F5F2B" w:rsidRDefault="00C17DB5" w:rsidP="00C17DB5"/>
    <w:p w:rsidR="00C17DB5" w:rsidRPr="004F5F2B" w:rsidRDefault="00C17DB5" w:rsidP="00C17DB5">
      <w:pPr>
        <w:pStyle w:val="4"/>
      </w:pPr>
    </w:p>
    <w:p w:rsidR="00276D3A" w:rsidRPr="004F5F2B" w:rsidRDefault="00276D3A">
      <w:pPr>
        <w:spacing w:after="200" w:line="276" w:lineRule="auto"/>
        <w:rPr>
          <w:rFonts w:ascii="Verdana" w:eastAsia="Calibri" w:hAnsi="Verdana"/>
          <w:b/>
          <w:sz w:val="20"/>
          <w:szCs w:val="20"/>
          <w:lang w:eastAsia="en-US"/>
        </w:rPr>
      </w:pPr>
      <w:r w:rsidRPr="004F5F2B">
        <w:br w:type="page"/>
      </w:r>
    </w:p>
    <w:p w:rsidR="00C17DB5" w:rsidRPr="000E4076" w:rsidRDefault="00C17DB5" w:rsidP="00A30018">
      <w:pPr>
        <w:pStyle w:val="4"/>
        <w:spacing w:after="120"/>
        <w:rPr>
          <w:sz w:val="22"/>
          <w:szCs w:val="22"/>
        </w:rPr>
      </w:pPr>
      <w:r w:rsidRPr="000E4076">
        <w:rPr>
          <w:sz w:val="22"/>
          <w:szCs w:val="22"/>
        </w:rPr>
        <w:t>Functio</w:t>
      </w:r>
      <w:r w:rsidR="00A30018">
        <w:rPr>
          <w:sz w:val="22"/>
          <w:szCs w:val="22"/>
        </w:rPr>
        <w:t>nal versus administrative areas</w:t>
      </w:r>
    </w:p>
    <w:p w:rsidR="00C17DB5" w:rsidRPr="000E4076" w:rsidRDefault="00C17DB5" w:rsidP="00A30018">
      <w:pPr>
        <w:autoSpaceDE w:val="0"/>
        <w:autoSpaceDN w:val="0"/>
        <w:adjustRightInd w:val="0"/>
        <w:spacing w:after="120" w:line="276" w:lineRule="auto"/>
        <w:jc w:val="both"/>
        <w:rPr>
          <w:rFonts w:ascii="Verdana" w:hAnsi="Verdana"/>
          <w:sz w:val="22"/>
          <w:szCs w:val="22"/>
        </w:rPr>
      </w:pPr>
      <w:r w:rsidRPr="000E4076">
        <w:rPr>
          <w:rFonts w:ascii="Verdana" w:hAnsi="Verdana"/>
          <w:sz w:val="22"/>
          <w:szCs w:val="22"/>
        </w:rPr>
        <w:t>The functional city corresponds to territorial or socio-economic realities</w:t>
      </w:r>
      <w:r w:rsidR="00194481" w:rsidRPr="000E4076">
        <w:rPr>
          <w:rFonts w:ascii="Verdana" w:hAnsi="Verdana"/>
          <w:sz w:val="22"/>
          <w:szCs w:val="22"/>
        </w:rPr>
        <w:t xml:space="preserve"> </w:t>
      </w:r>
      <w:r w:rsidRPr="000E4076">
        <w:rPr>
          <w:rFonts w:ascii="Verdana" w:hAnsi="Verdana"/>
          <w:sz w:val="22"/>
          <w:szCs w:val="22"/>
        </w:rPr>
        <w:t>which rarely correspond with the administrative city. Most European city regions are fragmented and comprise many municipalities with complex relationships between them. This raises many issues related for example to the strengthening of urban-rural linkages within an urban area.</w:t>
      </w:r>
    </w:p>
    <w:p w:rsidR="00C17DB5" w:rsidRPr="000E4076" w:rsidRDefault="00721521" w:rsidP="00A30018">
      <w:pPr>
        <w:autoSpaceDE w:val="0"/>
        <w:autoSpaceDN w:val="0"/>
        <w:adjustRightInd w:val="0"/>
        <w:spacing w:after="120" w:line="276" w:lineRule="auto"/>
        <w:jc w:val="both"/>
        <w:rPr>
          <w:rFonts w:ascii="Verdana" w:hAnsi="Verdana"/>
          <w:sz w:val="22"/>
          <w:szCs w:val="22"/>
        </w:rPr>
      </w:pPr>
      <w:r w:rsidRPr="000E4076">
        <w:rPr>
          <w:rFonts w:ascii="Verdana" w:hAnsi="Verdana"/>
          <w:sz w:val="22"/>
          <w:szCs w:val="22"/>
        </w:rPr>
        <w:t>Figure</w:t>
      </w:r>
      <w:r w:rsidR="00C17DB5" w:rsidRPr="000E4076">
        <w:rPr>
          <w:rFonts w:ascii="Verdana" w:hAnsi="Verdana"/>
          <w:sz w:val="22"/>
          <w:szCs w:val="22"/>
        </w:rPr>
        <w:t xml:space="preserve"> 2 below illustrates the problem in 18 large European cities for which comparable data is available. The Morphological Urban Area (MUA) depicts the continuity of the built-up space with a defined level of density.  A Functional Urban Area (FUA) can be described by its labour market basin and by the mobility pattern of commuters, and includes the wider urban system of nearby towns and villages that are economically and socially dependent on an urban centre.  The ratio of the population of the FUA to administrative area varies from just over 1 in Bucharest, Berlin and Rome to over 5 in Paris, Katowice, Manchester, Liverpool and Lisbon with Lille close behind. Managing urban systems at lower levels is difficult for tax, transport, the economy, social inclusion and the environment.  </w:t>
      </w:r>
    </w:p>
    <w:p w:rsidR="00C17DB5" w:rsidRPr="000E4076" w:rsidRDefault="00721521" w:rsidP="00A30018">
      <w:pPr>
        <w:spacing w:after="120" w:line="276" w:lineRule="auto"/>
        <w:jc w:val="both"/>
        <w:rPr>
          <w:rFonts w:ascii="Verdana" w:hAnsi="Verdana"/>
          <w:i/>
          <w:iCs/>
          <w:sz w:val="22"/>
          <w:szCs w:val="22"/>
        </w:rPr>
      </w:pPr>
      <w:r w:rsidRPr="000E4076">
        <w:rPr>
          <w:rFonts w:ascii="Verdana" w:hAnsi="Verdana"/>
          <w:i/>
          <w:iCs/>
          <w:sz w:val="22"/>
          <w:szCs w:val="22"/>
        </w:rPr>
        <w:t>Figure</w:t>
      </w:r>
      <w:r w:rsidR="00C17DB5" w:rsidRPr="000E4076">
        <w:rPr>
          <w:rFonts w:ascii="Verdana" w:hAnsi="Verdana"/>
          <w:i/>
          <w:iCs/>
          <w:sz w:val="22"/>
          <w:szCs w:val="22"/>
        </w:rPr>
        <w:t xml:space="preserve"> </w:t>
      </w:r>
      <w:r w:rsidR="00060EF2" w:rsidRPr="000E4076">
        <w:rPr>
          <w:rFonts w:ascii="Verdana" w:hAnsi="Verdana"/>
          <w:i/>
          <w:iCs/>
          <w:sz w:val="22"/>
          <w:szCs w:val="22"/>
        </w:rPr>
        <w:fldChar w:fldCharType="begin"/>
      </w:r>
      <w:r w:rsidR="00C17DB5" w:rsidRPr="000E4076">
        <w:rPr>
          <w:rFonts w:ascii="Verdana" w:hAnsi="Verdana"/>
          <w:i/>
          <w:iCs/>
          <w:sz w:val="22"/>
          <w:szCs w:val="22"/>
        </w:rPr>
        <w:instrText xml:space="preserve"> </w:instrText>
      </w:r>
      <w:r w:rsidR="00E465D9" w:rsidRPr="000E4076">
        <w:rPr>
          <w:rFonts w:ascii="Verdana" w:hAnsi="Verdana"/>
          <w:i/>
          <w:iCs/>
          <w:sz w:val="22"/>
          <w:szCs w:val="22"/>
        </w:rPr>
        <w:instrText>SEQ</w:instrText>
      </w:r>
      <w:r w:rsidR="00C17DB5" w:rsidRPr="000E4076">
        <w:rPr>
          <w:rFonts w:ascii="Verdana" w:hAnsi="Verdana"/>
          <w:i/>
          <w:iCs/>
          <w:sz w:val="22"/>
          <w:szCs w:val="22"/>
        </w:rPr>
        <w:instrText xml:space="preserve"> Table \* ARABIC </w:instrText>
      </w:r>
      <w:r w:rsidR="00060EF2" w:rsidRPr="000E4076">
        <w:rPr>
          <w:rFonts w:ascii="Verdana" w:hAnsi="Verdana"/>
          <w:i/>
          <w:iCs/>
          <w:sz w:val="22"/>
          <w:szCs w:val="22"/>
        </w:rPr>
        <w:fldChar w:fldCharType="separate"/>
      </w:r>
      <w:r w:rsidR="002C2DDD">
        <w:rPr>
          <w:rFonts w:ascii="Verdana" w:hAnsi="Verdana"/>
          <w:i/>
          <w:iCs/>
          <w:noProof/>
          <w:sz w:val="22"/>
          <w:szCs w:val="22"/>
        </w:rPr>
        <w:t>2</w:t>
      </w:r>
      <w:r w:rsidR="00060EF2" w:rsidRPr="000E4076">
        <w:rPr>
          <w:rFonts w:ascii="Verdana" w:hAnsi="Verdana"/>
          <w:i/>
          <w:iCs/>
          <w:sz w:val="22"/>
          <w:szCs w:val="22"/>
        </w:rPr>
        <w:fldChar w:fldCharType="end"/>
      </w:r>
      <w:r w:rsidR="00C17DB5" w:rsidRPr="000E4076">
        <w:rPr>
          <w:rFonts w:ascii="Verdana" w:hAnsi="Verdana"/>
          <w:i/>
          <w:iCs/>
          <w:sz w:val="22"/>
          <w:szCs w:val="22"/>
        </w:rPr>
        <w:t>: European administrative, morphological and functional urban area ratios for 18 city regions</w:t>
      </w:r>
      <w:r w:rsidR="00C17DB5" w:rsidRPr="000E4076">
        <w:rPr>
          <w:rStyle w:val="a5"/>
          <w:rFonts w:ascii="Verdana" w:eastAsia="SimSun" w:hAnsi="Verdana"/>
          <w:i/>
          <w:iCs/>
          <w:sz w:val="22"/>
          <w:szCs w:val="22"/>
        </w:rPr>
        <w:footnoteReference w:id="10"/>
      </w:r>
      <w:r w:rsidR="00C17DB5" w:rsidRPr="000E4076">
        <w:rPr>
          <w:rFonts w:ascii="Verdana" w:hAnsi="Verdana"/>
          <w:i/>
          <w:iCs/>
          <w:sz w:val="22"/>
          <w:szCs w:val="22"/>
        </w:rPr>
        <w:t xml:space="preserve"> </w:t>
      </w:r>
    </w:p>
    <w:p w:rsidR="00C17DB5" w:rsidRPr="004F5F2B" w:rsidRDefault="00EF40E4" w:rsidP="00A72D85">
      <w:pPr>
        <w:jc w:val="center"/>
        <w:rPr>
          <w:rFonts w:ascii="Verdana" w:hAnsi="Verdana"/>
          <w:sz w:val="20"/>
          <w:szCs w:val="20"/>
        </w:rPr>
      </w:pPr>
      <w:r w:rsidRPr="004F5F2B">
        <w:rPr>
          <w:rFonts w:ascii="Verdana" w:hAnsi="Verdana"/>
          <w:noProof/>
          <w:sz w:val="20"/>
          <w:szCs w:val="20"/>
          <w:lang w:val="bg-BG" w:eastAsia="bg-BG"/>
        </w:rPr>
        <w:drawing>
          <wp:inline distT="0" distB="0" distL="0" distR="0">
            <wp:extent cx="4832985" cy="3617595"/>
            <wp:effectExtent l="19050" t="0" r="571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4832985" cy="3617595"/>
                    </a:xfrm>
                    <a:prstGeom prst="rect">
                      <a:avLst/>
                    </a:prstGeom>
                    <a:noFill/>
                    <a:ln w="9525">
                      <a:noFill/>
                      <a:miter lim="800000"/>
                      <a:headEnd/>
                      <a:tailEnd/>
                    </a:ln>
                  </pic:spPr>
                </pic:pic>
              </a:graphicData>
            </a:graphic>
          </wp:inline>
        </w:drawing>
      </w:r>
    </w:p>
    <w:p w:rsidR="00A72D85" w:rsidRDefault="00A72D85" w:rsidP="00A30018">
      <w:pPr>
        <w:pStyle w:val="4"/>
        <w:spacing w:after="120"/>
        <w:rPr>
          <w:sz w:val="22"/>
          <w:szCs w:val="22"/>
        </w:rPr>
      </w:pPr>
    </w:p>
    <w:p w:rsidR="00C17DB5" w:rsidRPr="000E4076" w:rsidRDefault="00C17DB5" w:rsidP="00A30018">
      <w:pPr>
        <w:pStyle w:val="4"/>
        <w:spacing w:after="120"/>
        <w:rPr>
          <w:sz w:val="22"/>
          <w:szCs w:val="22"/>
        </w:rPr>
      </w:pPr>
      <w:r w:rsidRPr="000E4076">
        <w:rPr>
          <w:sz w:val="22"/>
          <w:szCs w:val="22"/>
        </w:rPr>
        <w:t>The thematic challenges of cities</w:t>
      </w:r>
    </w:p>
    <w:p w:rsidR="00C17DB5" w:rsidRPr="000E4076" w:rsidRDefault="00C17DB5" w:rsidP="00A30018">
      <w:pPr>
        <w:autoSpaceDE w:val="0"/>
        <w:autoSpaceDN w:val="0"/>
        <w:adjustRightInd w:val="0"/>
        <w:spacing w:after="120" w:line="276" w:lineRule="auto"/>
        <w:jc w:val="both"/>
        <w:rPr>
          <w:rFonts w:ascii="Verdana" w:hAnsi="Verdana"/>
          <w:sz w:val="22"/>
          <w:szCs w:val="22"/>
        </w:rPr>
      </w:pPr>
      <w:r w:rsidRPr="000E4076">
        <w:rPr>
          <w:rFonts w:ascii="Verdana" w:hAnsi="Verdana"/>
          <w:sz w:val="22"/>
          <w:szCs w:val="22"/>
        </w:rPr>
        <w:t xml:space="preserve">URBACT III will set out to </w:t>
      </w:r>
      <w:r w:rsidR="00F239EE" w:rsidRPr="000E4076">
        <w:rPr>
          <w:rFonts w:ascii="Verdana" w:hAnsi="Verdana"/>
          <w:sz w:val="22"/>
          <w:szCs w:val="22"/>
        </w:rPr>
        <w:t xml:space="preserve">build the capacity of urban authorities </w:t>
      </w:r>
      <w:r w:rsidRPr="000E4076">
        <w:rPr>
          <w:rFonts w:ascii="Verdana" w:hAnsi="Verdana"/>
          <w:sz w:val="22"/>
          <w:szCs w:val="22"/>
        </w:rPr>
        <w:t>tackl</w:t>
      </w:r>
      <w:r w:rsidR="00DA75CF" w:rsidRPr="000E4076">
        <w:rPr>
          <w:rFonts w:ascii="Verdana" w:hAnsi="Verdana"/>
          <w:sz w:val="22"/>
          <w:szCs w:val="22"/>
        </w:rPr>
        <w:t>ing</w:t>
      </w:r>
      <w:r w:rsidRPr="000E4076">
        <w:rPr>
          <w:rFonts w:ascii="Verdana" w:hAnsi="Verdana"/>
          <w:sz w:val="22"/>
          <w:szCs w:val="22"/>
        </w:rPr>
        <w:t xml:space="preserve"> key challenges that are facing European cities by undertaking actions and activities to achieve results. Cities are key generators of national growth within Member States but they are also the place where the highest unemployment rates can be found. Many cities face a widening of inequalities as well as an increase in exclusion and segregation.  Cities are also both producers of many carbon emissions, for example, through housing, industry and transport.  Yet they are also the place in which efforts take place to drive forward carbon reduction, through new technologies and service innovation.</w:t>
      </w:r>
    </w:p>
    <w:p w:rsidR="00C17DB5" w:rsidRPr="000E4076" w:rsidRDefault="00C17DB5" w:rsidP="00A30018">
      <w:pPr>
        <w:spacing w:after="120" w:line="276" w:lineRule="auto"/>
        <w:jc w:val="both"/>
        <w:rPr>
          <w:rFonts w:ascii="Verdana" w:hAnsi="Verdana"/>
          <w:color w:val="000000"/>
          <w:sz w:val="22"/>
          <w:szCs w:val="22"/>
        </w:rPr>
      </w:pPr>
      <w:r w:rsidRPr="000E4076">
        <w:rPr>
          <w:rFonts w:ascii="Verdana" w:hAnsi="Verdana"/>
          <w:color w:val="000000"/>
          <w:sz w:val="22"/>
          <w:szCs w:val="22"/>
        </w:rPr>
        <w:t>The global economic and financial crisis has had a significant impact on Europe’s cities. An URBACT survey in 2010 reported that 80% were experiencing severe impacts</w:t>
      </w:r>
      <w:r w:rsidRPr="000E4076">
        <w:rPr>
          <w:rStyle w:val="a5"/>
          <w:rFonts w:ascii="Verdana" w:eastAsia="SimSun" w:hAnsi="Verdana"/>
          <w:sz w:val="22"/>
          <w:szCs w:val="22"/>
        </w:rPr>
        <w:footnoteReference w:id="11"/>
      </w:r>
      <w:r w:rsidR="00A30018">
        <w:rPr>
          <w:rFonts w:ascii="Verdana" w:hAnsi="Verdana"/>
          <w:color w:val="000000"/>
          <w:sz w:val="22"/>
          <w:szCs w:val="22"/>
        </w:rPr>
        <w:t>.</w:t>
      </w:r>
    </w:p>
    <w:p w:rsidR="00C17DB5" w:rsidRPr="000E4076" w:rsidRDefault="00C17DB5" w:rsidP="00A30018">
      <w:pPr>
        <w:spacing w:after="120" w:line="276" w:lineRule="auto"/>
        <w:jc w:val="both"/>
        <w:rPr>
          <w:rFonts w:ascii="Verdana" w:hAnsi="Verdana"/>
          <w:color w:val="000000"/>
          <w:sz w:val="22"/>
          <w:szCs w:val="22"/>
        </w:rPr>
      </w:pPr>
      <w:r w:rsidRPr="000E4076">
        <w:rPr>
          <w:rFonts w:ascii="Verdana" w:hAnsi="Verdana"/>
          <w:color w:val="000000"/>
          <w:sz w:val="22"/>
          <w:szCs w:val="22"/>
        </w:rPr>
        <w:t>Whereas prior to 2007 only 4 capital cities had unemployment rates higher than 8% by 2009 there were 11.  Among noncapital cities, the number with unemployment levels higher than 10% rose significantly between 2007 and 2009</w:t>
      </w:r>
      <w:r w:rsidRPr="000E4076">
        <w:rPr>
          <w:rStyle w:val="a5"/>
          <w:rFonts w:ascii="Verdana" w:eastAsia="SimSun" w:hAnsi="Verdana"/>
          <w:sz w:val="22"/>
          <w:szCs w:val="22"/>
        </w:rPr>
        <w:footnoteReference w:id="12"/>
      </w:r>
      <w:r w:rsidRPr="000E4076">
        <w:rPr>
          <w:rFonts w:ascii="Verdana" w:hAnsi="Verdana"/>
          <w:color w:val="000000"/>
          <w:sz w:val="22"/>
          <w:szCs w:val="22"/>
        </w:rPr>
        <w:t xml:space="preserve">.  Many cities now face austerity measures to meet debt reduction targets of national governments. Cities also face declining tax incomes from citizens with lower income and from firms that are struggling to survive.  </w:t>
      </w:r>
    </w:p>
    <w:p w:rsidR="00C17DB5" w:rsidRPr="000E4076" w:rsidRDefault="00C17DB5" w:rsidP="00A30018">
      <w:pPr>
        <w:spacing w:after="120" w:line="276" w:lineRule="auto"/>
        <w:jc w:val="both"/>
        <w:rPr>
          <w:rFonts w:ascii="Verdana" w:hAnsi="Verdana"/>
          <w:color w:val="414042"/>
          <w:sz w:val="22"/>
          <w:szCs w:val="22"/>
        </w:rPr>
      </w:pPr>
      <w:r w:rsidRPr="000E4076">
        <w:rPr>
          <w:rFonts w:ascii="Verdana" w:hAnsi="Verdana"/>
          <w:color w:val="000000"/>
          <w:sz w:val="22"/>
          <w:szCs w:val="22"/>
        </w:rPr>
        <w:t>Between 1950 and 2009, the European urban population grew by 90%</w:t>
      </w:r>
      <w:r w:rsidRPr="000E4076">
        <w:rPr>
          <w:rStyle w:val="a5"/>
          <w:rFonts w:ascii="Verdana" w:eastAsia="SimSun" w:hAnsi="Verdana"/>
          <w:sz w:val="22"/>
          <w:szCs w:val="22"/>
        </w:rPr>
        <w:footnoteReference w:id="13"/>
      </w:r>
      <w:r w:rsidRPr="000E4076">
        <w:rPr>
          <w:rFonts w:ascii="Verdana" w:hAnsi="Verdana"/>
          <w:color w:val="000000"/>
          <w:sz w:val="22"/>
          <w:szCs w:val="22"/>
        </w:rPr>
        <w:t xml:space="preserve">. While </w:t>
      </w:r>
      <w:r w:rsidRPr="000E4076">
        <w:rPr>
          <w:rFonts w:ascii="Verdana" w:hAnsi="Verdana"/>
          <w:sz w:val="22"/>
          <w:szCs w:val="22"/>
        </w:rPr>
        <w:t>European urbanisation is increasing, according to the recent report by URBACT the population of 40% of European cities is shrinking especially in Germany, Central and Eastern Europe and in remote regions.</w:t>
      </w:r>
      <w:r w:rsidRPr="000E4076">
        <w:rPr>
          <w:rFonts w:ascii="Verdana" w:hAnsi="Verdana"/>
          <w:sz w:val="22"/>
          <w:szCs w:val="22"/>
          <w:vertAlign w:val="superscript"/>
        </w:rPr>
        <w:footnoteReference w:id="14"/>
      </w:r>
      <w:r w:rsidRPr="000E4076">
        <w:rPr>
          <w:rFonts w:ascii="Verdana" w:hAnsi="Verdana"/>
          <w:sz w:val="22"/>
          <w:szCs w:val="22"/>
          <w:vertAlign w:val="superscript"/>
        </w:rPr>
        <w:t xml:space="preserve"> </w:t>
      </w:r>
      <w:r w:rsidRPr="000E4076">
        <w:rPr>
          <w:rFonts w:ascii="Verdana" w:hAnsi="Verdana"/>
          <w:sz w:val="22"/>
          <w:szCs w:val="22"/>
        </w:rPr>
        <w:t>This apparent paradox is driven by a combination of factors including low birth rates, migration often caused by economic decline but also in many countries migration from the core city to surrounding municipalities and suburbs. Over the long term demographic change will have a major impact on European cities with an increase of elderly people.  There will be a dramatic increase of very old people: those aged 80 or more will represent more than 10% of the population in many cities by 2050.</w:t>
      </w:r>
    </w:p>
    <w:p w:rsidR="00C17DB5" w:rsidRPr="000E4076" w:rsidRDefault="00EF40E4" w:rsidP="00A30018">
      <w:pPr>
        <w:spacing w:after="120" w:line="276" w:lineRule="auto"/>
        <w:jc w:val="both"/>
        <w:rPr>
          <w:rFonts w:ascii="Verdana" w:hAnsi="Verdana"/>
          <w:bCs/>
          <w:sz w:val="22"/>
          <w:szCs w:val="22"/>
        </w:rPr>
      </w:pPr>
      <w:r w:rsidRPr="000E4076">
        <w:rPr>
          <w:rFonts w:ascii="Verdana" w:hAnsi="Verdana"/>
          <w:noProof/>
          <w:sz w:val="22"/>
          <w:szCs w:val="22"/>
          <w:lang w:val="bg-BG" w:eastAsia="bg-BG"/>
        </w:rPr>
        <w:drawing>
          <wp:inline distT="0" distB="0" distL="0" distR="0">
            <wp:extent cx="10160" cy="191135"/>
            <wp:effectExtent l="0" t="0" r="0" b="0"/>
            <wp:docPr id="5" name="Image 6" descr="http://www.berlin-institut.or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www.berlin-institut.org/clear.gif"/>
                    <pic:cNvPicPr>
                      <a:picLocks noChangeAspect="1" noChangeArrowheads="1"/>
                    </pic:cNvPicPr>
                  </pic:nvPicPr>
                  <pic:blipFill>
                    <a:blip r:embed="rId23"/>
                    <a:srcRect/>
                    <a:stretch>
                      <a:fillRect/>
                    </a:stretch>
                  </pic:blipFill>
                  <pic:spPr bwMode="auto">
                    <a:xfrm>
                      <a:off x="0" y="0"/>
                      <a:ext cx="10160" cy="191135"/>
                    </a:xfrm>
                    <a:prstGeom prst="rect">
                      <a:avLst/>
                    </a:prstGeom>
                    <a:noFill/>
                    <a:ln w="9525">
                      <a:noFill/>
                      <a:miter lim="800000"/>
                      <a:headEnd/>
                      <a:tailEnd/>
                    </a:ln>
                  </pic:spPr>
                </pic:pic>
              </a:graphicData>
            </a:graphic>
          </wp:inline>
        </w:drawing>
      </w:r>
      <w:r w:rsidR="00C17DB5" w:rsidRPr="000E4076">
        <w:rPr>
          <w:rFonts w:ascii="Verdana" w:hAnsi="Verdana"/>
          <w:sz w:val="22"/>
          <w:szCs w:val="22"/>
        </w:rPr>
        <w:t>Studies</w:t>
      </w:r>
      <w:r w:rsidR="00C17DB5" w:rsidRPr="000E4076">
        <w:rPr>
          <w:rStyle w:val="a5"/>
          <w:rFonts w:ascii="Verdana" w:eastAsia="SimSun" w:hAnsi="Verdana"/>
          <w:sz w:val="22"/>
          <w:szCs w:val="22"/>
        </w:rPr>
        <w:footnoteReference w:id="15"/>
      </w:r>
      <w:r w:rsidR="00C17DB5" w:rsidRPr="000E4076">
        <w:rPr>
          <w:rFonts w:ascii="Verdana" w:hAnsi="Verdana"/>
          <w:sz w:val="22"/>
          <w:szCs w:val="22"/>
        </w:rPr>
        <w:t xml:space="preserve"> reveal that the working age population is forecast to decline and that in the absence of international migration this decline would be even larger. These trends will impact on services especially health and social care, housing and on the provision of city infrastructure.  City administrations and those agencies and organisations providing other services within cities will play the leading</w:t>
      </w:r>
      <w:r w:rsidR="00C17DB5" w:rsidRPr="000E4076">
        <w:rPr>
          <w:rFonts w:ascii="Verdana" w:hAnsi="Verdana"/>
          <w:bCs/>
          <w:sz w:val="22"/>
          <w:szCs w:val="22"/>
        </w:rPr>
        <w:t xml:space="preserve"> role in integrating migrants.  </w:t>
      </w:r>
    </w:p>
    <w:p w:rsidR="00C17DB5" w:rsidRPr="000E4076" w:rsidRDefault="00C17DB5" w:rsidP="00A30018">
      <w:pPr>
        <w:spacing w:after="120" w:line="276" w:lineRule="auto"/>
        <w:jc w:val="both"/>
        <w:rPr>
          <w:rFonts w:ascii="Verdana" w:hAnsi="Verdana"/>
          <w:bCs/>
          <w:sz w:val="22"/>
          <w:szCs w:val="22"/>
        </w:rPr>
      </w:pPr>
      <w:r w:rsidRPr="000E4076">
        <w:rPr>
          <w:rFonts w:ascii="Verdana" w:hAnsi="Verdana"/>
          <w:color w:val="000000"/>
          <w:sz w:val="22"/>
          <w:szCs w:val="22"/>
        </w:rPr>
        <w:t xml:space="preserve">In this context cities have to find answers </w:t>
      </w:r>
      <w:r w:rsidRPr="000E4076">
        <w:rPr>
          <w:rFonts w:ascii="Verdana" w:hAnsi="Verdana"/>
          <w:bCs/>
          <w:sz w:val="22"/>
          <w:szCs w:val="22"/>
        </w:rPr>
        <w:t xml:space="preserve">to how to promote economic development, maintain competitiveness, create jobs while addressing growing social polarisation, combat poverty and deal with the depletion of natural resources. </w:t>
      </w:r>
    </w:p>
    <w:p w:rsidR="00C17DB5" w:rsidRPr="000E4076" w:rsidRDefault="00C17DB5" w:rsidP="00A30018">
      <w:pPr>
        <w:spacing w:after="120" w:line="276" w:lineRule="auto"/>
        <w:jc w:val="both"/>
        <w:rPr>
          <w:rFonts w:ascii="Verdana" w:hAnsi="Verdana"/>
          <w:sz w:val="22"/>
          <w:szCs w:val="22"/>
        </w:rPr>
      </w:pPr>
      <w:bookmarkStart w:id="4" w:name="_Toc364010002"/>
      <w:bookmarkStart w:id="5" w:name="_Toc297030781"/>
      <w:r w:rsidRPr="000E4076">
        <w:rPr>
          <w:rFonts w:ascii="Verdana" w:hAnsi="Verdana"/>
          <w:i/>
          <w:sz w:val="22"/>
          <w:szCs w:val="22"/>
        </w:rPr>
        <w:t>Economic development and competitiveness</w:t>
      </w:r>
      <w:bookmarkEnd w:id="4"/>
      <w:bookmarkEnd w:id="5"/>
      <w:r w:rsidRPr="000E4076">
        <w:rPr>
          <w:rFonts w:ascii="Verdana" w:hAnsi="Verdana"/>
          <w:sz w:val="22"/>
          <w:szCs w:val="22"/>
        </w:rPr>
        <w:t>: Many cities are facing economic challenges but they face very different trajectories depending on their size and role in the urban hierarchy, the structure of their economy, and their capacity to establish and implement a strategic vision of development.</w:t>
      </w:r>
      <w:r w:rsidRPr="000E4076">
        <w:rPr>
          <w:rStyle w:val="Rfrenceintense1"/>
          <w:sz w:val="22"/>
          <w:szCs w:val="22"/>
        </w:rPr>
        <w:t xml:space="preserve"> </w:t>
      </w:r>
      <w:r w:rsidRPr="000E4076">
        <w:rPr>
          <w:rStyle w:val="Rfrenceintense1"/>
          <w:b w:val="0"/>
          <w:sz w:val="22"/>
          <w:szCs w:val="22"/>
        </w:rPr>
        <w:t xml:space="preserve">These challenges have increased with the financial and economic crisis since 2008. In this context </w:t>
      </w:r>
      <w:r w:rsidRPr="000E4076">
        <w:rPr>
          <w:rFonts w:ascii="Verdana" w:hAnsi="Verdana"/>
          <w:sz w:val="22"/>
          <w:szCs w:val="22"/>
        </w:rPr>
        <w:t xml:space="preserve">it is important that cities: </w:t>
      </w:r>
    </w:p>
    <w:p w:rsidR="00C17DB5" w:rsidRPr="000E4076" w:rsidRDefault="00C17DB5" w:rsidP="00D67ECF">
      <w:pPr>
        <w:pStyle w:val="Paragraphedeliste3"/>
        <w:numPr>
          <w:ilvl w:val="0"/>
          <w:numId w:val="2"/>
        </w:numPr>
        <w:spacing w:after="120"/>
        <w:jc w:val="both"/>
        <w:rPr>
          <w:rStyle w:val="Rfrenceintense1"/>
          <w:b w:val="0"/>
        </w:rPr>
      </w:pPr>
      <w:r w:rsidRPr="000E4076">
        <w:rPr>
          <w:rFonts w:ascii="Verdana" w:hAnsi="Verdana"/>
        </w:rPr>
        <w:t xml:space="preserve">develop strategies that enable </w:t>
      </w:r>
      <w:r w:rsidRPr="000E4076">
        <w:rPr>
          <w:rStyle w:val="Rfrenceintense1"/>
          <w:b w:val="0"/>
        </w:rPr>
        <w:t>and encourage job creation and increase residents’ employability</w:t>
      </w:r>
      <w:r w:rsidRPr="000E4076">
        <w:rPr>
          <w:rStyle w:val="a5"/>
          <w:rFonts w:ascii="Verdana" w:hAnsi="Verdana"/>
        </w:rPr>
        <w:footnoteReference w:id="16"/>
      </w:r>
      <w:r w:rsidRPr="000E4076">
        <w:rPr>
          <w:rStyle w:val="Rfrenceintense1"/>
          <w:b w:val="0"/>
        </w:rPr>
        <w:t xml:space="preserve"> ; </w:t>
      </w:r>
    </w:p>
    <w:p w:rsidR="00C17DB5" w:rsidRPr="000E4076" w:rsidRDefault="00C17DB5" w:rsidP="00D67ECF">
      <w:pPr>
        <w:pStyle w:val="Paragraphedeliste3"/>
        <w:numPr>
          <w:ilvl w:val="0"/>
          <w:numId w:val="2"/>
        </w:numPr>
        <w:spacing w:after="120"/>
        <w:jc w:val="both"/>
        <w:rPr>
          <w:rStyle w:val="Rfrenceintense1"/>
          <w:b w:val="0"/>
        </w:rPr>
      </w:pPr>
      <w:r w:rsidRPr="000E4076">
        <w:rPr>
          <w:rStyle w:val="Rfrenceintense1"/>
          <w:b w:val="0"/>
        </w:rPr>
        <w:t xml:space="preserve">draw together sectoral actors to put in place entrepreneurial initiatives and innovation including social innovation ecosystems </w:t>
      </w:r>
    </w:p>
    <w:p w:rsidR="00C17DB5" w:rsidRPr="000E4076" w:rsidRDefault="00C17DB5" w:rsidP="00D67ECF">
      <w:pPr>
        <w:pStyle w:val="Paragraphedeliste3"/>
        <w:numPr>
          <w:ilvl w:val="0"/>
          <w:numId w:val="2"/>
        </w:numPr>
        <w:spacing w:after="120"/>
        <w:jc w:val="both"/>
        <w:rPr>
          <w:rFonts w:ascii="Verdana" w:hAnsi="Verdana"/>
        </w:rPr>
      </w:pPr>
      <w:r w:rsidRPr="000E4076">
        <w:rPr>
          <w:rStyle w:val="Rfrenceintense1"/>
          <w:b w:val="0"/>
        </w:rPr>
        <w:t>take into account the necessity to develop a low carbon economy, which</w:t>
      </w:r>
      <w:r w:rsidRPr="000E4076">
        <w:rPr>
          <w:rFonts w:ascii="Verdana" w:hAnsi="Verdana"/>
        </w:rPr>
        <w:t xml:space="preserve"> can be a driver of socially inclusive economic development for cities. </w:t>
      </w:r>
    </w:p>
    <w:p w:rsidR="00C17DB5" w:rsidRPr="000E4076" w:rsidRDefault="00C17DB5" w:rsidP="00A30018">
      <w:pPr>
        <w:spacing w:after="120" w:line="276" w:lineRule="auto"/>
        <w:jc w:val="both"/>
        <w:rPr>
          <w:rFonts w:ascii="Verdana" w:hAnsi="Verdana"/>
          <w:color w:val="000000"/>
          <w:sz w:val="22"/>
          <w:szCs w:val="22"/>
        </w:rPr>
      </w:pPr>
      <w:bookmarkStart w:id="6" w:name="_Toc364010003"/>
      <w:r w:rsidRPr="000E4076">
        <w:rPr>
          <w:rFonts w:ascii="Verdana" w:hAnsi="Verdana"/>
          <w:i/>
          <w:sz w:val="22"/>
          <w:szCs w:val="22"/>
        </w:rPr>
        <w:t>Social exclusion and spatial polarisation</w:t>
      </w:r>
      <w:bookmarkEnd w:id="6"/>
      <w:r w:rsidRPr="000E4076">
        <w:rPr>
          <w:rFonts w:ascii="Verdana" w:hAnsi="Verdana"/>
          <w:color w:val="000000"/>
          <w:sz w:val="22"/>
          <w:szCs w:val="22"/>
        </w:rPr>
        <w:t>: The Cities of Tomorrow</w:t>
      </w:r>
      <w:r w:rsidR="00DA75CF" w:rsidRPr="000E4076">
        <w:rPr>
          <w:rStyle w:val="a5"/>
          <w:rFonts w:ascii="Verdana" w:hAnsi="Verdana"/>
          <w:sz w:val="22"/>
          <w:szCs w:val="22"/>
        </w:rPr>
        <w:footnoteReference w:id="17"/>
      </w:r>
      <w:r w:rsidRPr="000E4076">
        <w:rPr>
          <w:rFonts w:ascii="Verdana" w:hAnsi="Verdana"/>
          <w:color w:val="000000"/>
          <w:sz w:val="22"/>
          <w:szCs w:val="22"/>
        </w:rPr>
        <w:t xml:space="preserve"> report has highlighted the extent and the scope of exclusion, which affects parts of urban territories and their inhabitants, and in particular certain groups such as young people</w:t>
      </w:r>
      <w:r w:rsidR="00DA75CF" w:rsidRPr="000E4076">
        <w:rPr>
          <w:rStyle w:val="a5"/>
          <w:rFonts w:ascii="Verdana" w:hAnsi="Verdana"/>
          <w:sz w:val="22"/>
          <w:szCs w:val="22"/>
        </w:rPr>
        <w:footnoteReference w:id="18"/>
      </w:r>
      <w:r w:rsidR="0029014E" w:rsidRPr="000E4076">
        <w:rPr>
          <w:rStyle w:val="Rfrenceintense1"/>
          <w:b w:val="0"/>
          <w:sz w:val="22"/>
          <w:szCs w:val="22"/>
        </w:rPr>
        <w:t>;</w:t>
      </w:r>
      <w:r w:rsidRPr="000E4076">
        <w:rPr>
          <w:rFonts w:ascii="Verdana" w:hAnsi="Verdana"/>
          <w:color w:val="000000"/>
          <w:sz w:val="22"/>
          <w:szCs w:val="22"/>
        </w:rPr>
        <w:t xml:space="preserve"> migrants and ethnic minorities. In order to tackle exclusion and polarisation cities must continue to address the needs of such groups, whilst also </w:t>
      </w:r>
      <w:r w:rsidRPr="000E4076">
        <w:rPr>
          <w:rFonts w:ascii="Verdana" w:hAnsi="Verdana"/>
          <w:bCs/>
          <w:iCs/>
          <w:color w:val="000000"/>
          <w:sz w:val="22"/>
          <w:szCs w:val="22"/>
        </w:rPr>
        <w:t xml:space="preserve">addressing social cohesion and </w:t>
      </w:r>
      <w:r w:rsidR="000565D8" w:rsidRPr="000E4076">
        <w:rPr>
          <w:rFonts w:ascii="Verdana" w:hAnsi="Verdana"/>
          <w:bCs/>
          <w:iCs/>
          <w:color w:val="000000"/>
          <w:sz w:val="22"/>
          <w:szCs w:val="22"/>
        </w:rPr>
        <w:t>combating</w:t>
      </w:r>
      <w:r w:rsidRPr="000E4076">
        <w:rPr>
          <w:rFonts w:ascii="Verdana" w:hAnsi="Verdana"/>
          <w:bCs/>
          <w:iCs/>
          <w:color w:val="000000"/>
          <w:sz w:val="22"/>
          <w:szCs w:val="22"/>
        </w:rPr>
        <w:t xml:space="preserve"> urban poverty in the broader urban fabric and environment</w:t>
      </w:r>
      <w:r w:rsidRPr="000E4076">
        <w:rPr>
          <w:rFonts w:ascii="Verdana" w:hAnsi="Verdana"/>
          <w:bCs/>
          <w:i/>
          <w:iCs/>
          <w:sz w:val="22"/>
          <w:szCs w:val="22"/>
        </w:rPr>
        <w:t xml:space="preserve">. </w:t>
      </w:r>
      <w:r w:rsidRPr="000E4076">
        <w:rPr>
          <w:rFonts w:ascii="Verdana" w:hAnsi="Verdana"/>
          <w:bCs/>
          <w:iCs/>
          <w:sz w:val="22"/>
          <w:szCs w:val="22"/>
        </w:rPr>
        <w:t>Evidence based findings from URBACT II confirm that</w:t>
      </w:r>
      <w:r w:rsidRPr="000E4076">
        <w:rPr>
          <w:rFonts w:ascii="Verdana" w:hAnsi="Verdana"/>
          <w:bCs/>
          <w:iCs/>
          <w:sz w:val="22"/>
          <w:szCs w:val="22"/>
          <w:vertAlign w:val="superscript"/>
        </w:rPr>
        <w:footnoteReference w:id="19"/>
      </w:r>
      <w:r w:rsidRPr="000E4076">
        <w:rPr>
          <w:rFonts w:ascii="Verdana" w:hAnsi="Verdana"/>
          <w:color w:val="000000"/>
          <w:sz w:val="22"/>
          <w:szCs w:val="22"/>
        </w:rPr>
        <w:t xml:space="preserve"> actions on the city level should be combined with area-based interventions when possible to avoid deprived neighbourhoods becoming ghettos. Cities need to act in a comprehensive way, coordinating policies (e.g. spatial intervention on housing, urban planning, mobility with cultural, social and economic interventions), and the work with the</w:t>
      </w:r>
      <w:r w:rsidRPr="000E4076">
        <w:rPr>
          <w:rFonts w:ascii="Verdana" w:hAnsi="Verdana"/>
          <w:sz w:val="22"/>
          <w:szCs w:val="22"/>
        </w:rPr>
        <w:t xml:space="preserve"> </w:t>
      </w:r>
      <w:r w:rsidRPr="000E4076">
        <w:rPr>
          <w:rFonts w:ascii="Verdana" w:hAnsi="Verdana"/>
          <w:color w:val="000000"/>
          <w:sz w:val="22"/>
          <w:szCs w:val="22"/>
        </w:rPr>
        <w:t xml:space="preserve">community, civil society organisations, with the private sector and other key stakeholders. </w:t>
      </w:r>
    </w:p>
    <w:p w:rsidR="00C17DB5" w:rsidRPr="000E4076" w:rsidRDefault="002E5CA7" w:rsidP="00A30018">
      <w:pPr>
        <w:spacing w:after="120" w:line="276" w:lineRule="auto"/>
        <w:jc w:val="both"/>
        <w:rPr>
          <w:rFonts w:ascii="Verdana" w:hAnsi="Verdana"/>
          <w:b/>
          <w:color w:val="000000"/>
          <w:sz w:val="22"/>
          <w:szCs w:val="22"/>
        </w:rPr>
      </w:pPr>
      <w:bookmarkStart w:id="7" w:name="_Toc364010004"/>
      <w:r w:rsidRPr="000E4076">
        <w:rPr>
          <w:rFonts w:ascii="Verdana" w:hAnsi="Verdana"/>
          <w:i/>
          <w:sz w:val="22"/>
          <w:szCs w:val="22"/>
        </w:rPr>
        <w:t>Attractiveness</w:t>
      </w:r>
      <w:r w:rsidR="00C17DB5" w:rsidRPr="000E4076">
        <w:rPr>
          <w:rFonts w:ascii="Verdana" w:hAnsi="Verdana"/>
          <w:i/>
          <w:sz w:val="22"/>
          <w:szCs w:val="22"/>
        </w:rPr>
        <w:t xml:space="preserve"> and natural resources</w:t>
      </w:r>
      <w:bookmarkEnd w:id="7"/>
      <w:r w:rsidR="00C17DB5" w:rsidRPr="000E4076">
        <w:rPr>
          <w:rFonts w:ascii="Verdana" w:hAnsi="Verdana"/>
          <w:sz w:val="22"/>
          <w:szCs w:val="22"/>
        </w:rPr>
        <w:t>: Cities contribute to the quality of life of inhabitants in all its senses: environmental, cultural and social.</w:t>
      </w:r>
      <w:r w:rsidR="00DA75CF" w:rsidRPr="000E4076">
        <w:rPr>
          <w:rFonts w:ascii="Verdana" w:hAnsi="Verdana"/>
          <w:sz w:val="22"/>
          <w:szCs w:val="22"/>
        </w:rPr>
        <w:t xml:space="preserve"> </w:t>
      </w:r>
      <w:r w:rsidR="00C17DB5" w:rsidRPr="000E4076">
        <w:rPr>
          <w:rFonts w:ascii="Verdana" w:hAnsi="Verdana"/>
          <w:sz w:val="22"/>
          <w:szCs w:val="22"/>
        </w:rPr>
        <w:t>They are providers or facilitators of the main services that their inhabitants need: water, energy, housing, transport, culture, health, green and urban spaces, etc</w:t>
      </w:r>
      <w:r w:rsidR="0029014E" w:rsidRPr="000E4076">
        <w:rPr>
          <w:rFonts w:ascii="Verdana" w:hAnsi="Verdana"/>
          <w:sz w:val="22"/>
          <w:szCs w:val="22"/>
        </w:rPr>
        <w:t>...</w:t>
      </w:r>
      <w:r w:rsidR="00C17DB5" w:rsidRPr="000E4076">
        <w:rPr>
          <w:rFonts w:ascii="Verdana" w:hAnsi="Verdana"/>
          <w:sz w:val="22"/>
          <w:szCs w:val="22"/>
        </w:rPr>
        <w:t xml:space="preserve"> To an extent their economic wealth depends on the quality of these services which make their attractiveness for inhabitants and enterprises; in the international competition between cities these services are considered to be key factors for success.</w:t>
      </w:r>
      <w:r w:rsidR="00C17DB5" w:rsidRPr="000E4076">
        <w:rPr>
          <w:rFonts w:ascii="Verdana" w:hAnsi="Verdana"/>
          <w:color w:val="000000"/>
          <w:sz w:val="22"/>
          <w:szCs w:val="22"/>
        </w:rPr>
        <w:t xml:space="preserve"> To tackle all these challenges, the city needs a holistic approach bringing together economic opportunity, </w:t>
      </w:r>
      <w:r w:rsidR="00C17DB5" w:rsidRPr="000E4076">
        <w:rPr>
          <w:rStyle w:val="Rfrenceintense1"/>
          <w:b w:val="0"/>
          <w:sz w:val="22"/>
          <w:szCs w:val="22"/>
        </w:rPr>
        <w:t xml:space="preserve">multimodal mobility, </w:t>
      </w:r>
      <w:r w:rsidR="00E36D34" w:rsidRPr="000E4076">
        <w:rPr>
          <w:rStyle w:val="Rfrenceintense1"/>
          <w:b w:val="0"/>
          <w:sz w:val="22"/>
          <w:szCs w:val="22"/>
        </w:rPr>
        <w:t xml:space="preserve">energy efficiency and renewability, </w:t>
      </w:r>
      <w:r w:rsidR="00C17DB5" w:rsidRPr="000E4076">
        <w:rPr>
          <w:rStyle w:val="Rfrenceintense1"/>
          <w:b w:val="0"/>
          <w:sz w:val="22"/>
          <w:szCs w:val="22"/>
        </w:rPr>
        <w:t>quality of the natural and built environment and promotion of the cultural heritage</w:t>
      </w:r>
      <w:r w:rsidR="00C17DB5" w:rsidRPr="000E4076">
        <w:rPr>
          <w:rFonts w:ascii="Verdana" w:hAnsi="Verdana"/>
          <w:b/>
          <w:color w:val="000000"/>
          <w:sz w:val="22"/>
          <w:szCs w:val="22"/>
        </w:rPr>
        <w:t xml:space="preserve">, </w:t>
      </w:r>
      <w:r w:rsidR="00C17DB5" w:rsidRPr="000E4076">
        <w:rPr>
          <w:rFonts w:ascii="Verdana" w:hAnsi="Verdana"/>
          <w:color w:val="000000"/>
          <w:sz w:val="22"/>
          <w:szCs w:val="22"/>
        </w:rPr>
        <w:t>development of</w:t>
      </w:r>
      <w:r w:rsidR="00C17DB5" w:rsidRPr="000E4076">
        <w:rPr>
          <w:rFonts w:ascii="Verdana" w:hAnsi="Verdana"/>
          <w:b/>
          <w:color w:val="000000"/>
          <w:sz w:val="22"/>
          <w:szCs w:val="22"/>
        </w:rPr>
        <w:t xml:space="preserve"> </w:t>
      </w:r>
      <w:r w:rsidR="00C17DB5" w:rsidRPr="000E4076">
        <w:rPr>
          <w:rStyle w:val="Rfrenceintense1"/>
          <w:b w:val="0"/>
          <w:sz w:val="22"/>
          <w:szCs w:val="22"/>
        </w:rPr>
        <w:t>strong public services and amenities in a sustainable an inclusive way.  This requires coordinated policies for urban renewal and control of urban sprawl</w:t>
      </w:r>
      <w:r w:rsidR="00C17DB5" w:rsidRPr="000E4076">
        <w:rPr>
          <w:rFonts w:ascii="Verdana" w:hAnsi="Verdana"/>
          <w:b/>
          <w:color w:val="000000"/>
          <w:sz w:val="22"/>
          <w:szCs w:val="22"/>
        </w:rPr>
        <w:t xml:space="preserve">. </w:t>
      </w:r>
    </w:p>
    <w:p w:rsidR="000565D8" w:rsidRPr="000E4076" w:rsidRDefault="000565D8" w:rsidP="00A30018">
      <w:pPr>
        <w:pStyle w:val="4"/>
        <w:spacing w:after="120"/>
        <w:rPr>
          <w:sz w:val="22"/>
          <w:szCs w:val="22"/>
        </w:rPr>
      </w:pPr>
    </w:p>
    <w:p w:rsidR="00C17DB5" w:rsidRPr="000E4076" w:rsidRDefault="00C17DB5" w:rsidP="00A30018">
      <w:pPr>
        <w:pStyle w:val="4"/>
        <w:spacing w:after="120"/>
        <w:rPr>
          <w:sz w:val="22"/>
          <w:szCs w:val="22"/>
        </w:rPr>
      </w:pPr>
      <w:r w:rsidRPr="000E4076">
        <w:rPr>
          <w:sz w:val="22"/>
          <w:szCs w:val="22"/>
        </w:rPr>
        <w:t>What do cities need when implementing sustainable and integrated urban development?</w:t>
      </w:r>
    </w:p>
    <w:p w:rsidR="00C17DB5" w:rsidRPr="000E4076" w:rsidRDefault="00C17DB5" w:rsidP="00A30018">
      <w:pPr>
        <w:spacing w:after="120" w:line="276" w:lineRule="auto"/>
        <w:jc w:val="both"/>
        <w:rPr>
          <w:rFonts w:ascii="Verdana" w:hAnsi="Verdana"/>
          <w:sz w:val="22"/>
          <w:szCs w:val="22"/>
        </w:rPr>
      </w:pPr>
      <w:r w:rsidRPr="000E4076">
        <w:rPr>
          <w:rFonts w:ascii="Verdana" w:hAnsi="Verdana"/>
          <w:sz w:val="22"/>
          <w:szCs w:val="22"/>
        </w:rPr>
        <w:t xml:space="preserve">Europe has been developing its thinking about urban development and specifically about integrated approaches for 25 years since the start of the Urban Pilot Projects in 1989.  </w:t>
      </w:r>
    </w:p>
    <w:p w:rsidR="00E73A82" w:rsidRPr="000E4076" w:rsidRDefault="00C17DB5" w:rsidP="00A30018">
      <w:pPr>
        <w:spacing w:after="120" w:line="276" w:lineRule="auto"/>
        <w:jc w:val="both"/>
        <w:rPr>
          <w:rFonts w:ascii="Verdana" w:hAnsi="Verdana"/>
          <w:sz w:val="22"/>
          <w:szCs w:val="22"/>
        </w:rPr>
      </w:pPr>
      <w:r w:rsidRPr="000E4076">
        <w:rPr>
          <w:rFonts w:ascii="Verdana" w:hAnsi="Verdana"/>
          <w:sz w:val="22"/>
          <w:szCs w:val="22"/>
        </w:rPr>
        <w:t>Other key policy landmarks that have informed these approaches include</w:t>
      </w:r>
      <w:r w:rsidR="00F239EE" w:rsidRPr="000E4076">
        <w:rPr>
          <w:rFonts w:ascii="Verdana" w:hAnsi="Verdana"/>
          <w:sz w:val="22"/>
          <w:szCs w:val="22"/>
        </w:rPr>
        <w:t xml:space="preserve"> the </w:t>
      </w:r>
      <w:r w:rsidRPr="000E4076">
        <w:rPr>
          <w:rFonts w:ascii="Verdana" w:hAnsi="Verdana"/>
          <w:sz w:val="22"/>
          <w:szCs w:val="22"/>
        </w:rPr>
        <w:t xml:space="preserve">URBAN 1 </w:t>
      </w:r>
      <w:r w:rsidR="0047572C" w:rsidRPr="000E4076">
        <w:rPr>
          <w:rFonts w:ascii="Verdana" w:hAnsi="Verdana"/>
          <w:sz w:val="22"/>
          <w:szCs w:val="22"/>
        </w:rPr>
        <w:t xml:space="preserve">(1994-1999) </w:t>
      </w:r>
      <w:r w:rsidR="00F239EE" w:rsidRPr="000E4076">
        <w:rPr>
          <w:rFonts w:ascii="Verdana" w:hAnsi="Verdana"/>
          <w:sz w:val="22"/>
          <w:szCs w:val="22"/>
        </w:rPr>
        <w:t xml:space="preserve">and URBAN 2 </w:t>
      </w:r>
      <w:r w:rsidR="0047572C" w:rsidRPr="000E4076">
        <w:rPr>
          <w:rFonts w:ascii="Verdana" w:hAnsi="Verdana"/>
          <w:sz w:val="22"/>
          <w:szCs w:val="22"/>
        </w:rPr>
        <w:t xml:space="preserve">(2000-2006) </w:t>
      </w:r>
      <w:r w:rsidR="00F20AAB" w:rsidRPr="000E4076">
        <w:rPr>
          <w:rFonts w:ascii="Verdana" w:hAnsi="Verdana"/>
          <w:sz w:val="22"/>
          <w:szCs w:val="22"/>
        </w:rPr>
        <w:t>community initiatives</w:t>
      </w:r>
      <w:r w:rsidR="00F239EE" w:rsidRPr="000E4076">
        <w:rPr>
          <w:rFonts w:ascii="Verdana" w:hAnsi="Verdana"/>
          <w:sz w:val="22"/>
          <w:szCs w:val="22"/>
        </w:rPr>
        <w:t xml:space="preserve">, the </w:t>
      </w:r>
      <w:r w:rsidRPr="000E4076">
        <w:rPr>
          <w:rFonts w:ascii="Verdana" w:hAnsi="Verdana"/>
          <w:sz w:val="22"/>
          <w:szCs w:val="22"/>
        </w:rPr>
        <w:t xml:space="preserve">“URBAN Acquis” of 2004, </w:t>
      </w:r>
      <w:r w:rsidR="00F239EE" w:rsidRPr="000E4076">
        <w:rPr>
          <w:rFonts w:ascii="Verdana" w:hAnsi="Verdana"/>
          <w:sz w:val="22"/>
          <w:szCs w:val="22"/>
        </w:rPr>
        <w:t>t</w:t>
      </w:r>
      <w:r w:rsidRPr="000E4076">
        <w:rPr>
          <w:rFonts w:ascii="Verdana" w:hAnsi="Verdana"/>
          <w:sz w:val="22"/>
          <w:szCs w:val="22"/>
        </w:rPr>
        <w:t>he 2005 Bristol Accord</w:t>
      </w:r>
      <w:r w:rsidR="00F239EE" w:rsidRPr="000E4076">
        <w:rPr>
          <w:rFonts w:ascii="Verdana" w:hAnsi="Verdana"/>
          <w:sz w:val="22"/>
          <w:szCs w:val="22"/>
        </w:rPr>
        <w:t>, the</w:t>
      </w:r>
      <w:r w:rsidRPr="000E4076">
        <w:rPr>
          <w:rFonts w:ascii="Verdana" w:hAnsi="Verdana"/>
          <w:sz w:val="22"/>
          <w:szCs w:val="22"/>
        </w:rPr>
        <w:t xml:space="preserve"> URBACT II programme 2007-2013</w:t>
      </w:r>
      <w:r w:rsidR="00F239EE" w:rsidRPr="000E4076">
        <w:rPr>
          <w:rFonts w:ascii="Verdana" w:hAnsi="Verdana"/>
          <w:sz w:val="22"/>
          <w:szCs w:val="22"/>
        </w:rPr>
        <w:t>, the</w:t>
      </w:r>
      <w:r w:rsidRPr="000E4076">
        <w:rPr>
          <w:rFonts w:ascii="Verdana" w:hAnsi="Verdana"/>
          <w:sz w:val="22"/>
          <w:szCs w:val="22"/>
        </w:rPr>
        <w:t xml:space="preserve">  Leipzig Charter on Sustainable European Cities of 2007</w:t>
      </w:r>
      <w:r w:rsidR="00F239EE" w:rsidRPr="000E4076">
        <w:rPr>
          <w:rFonts w:ascii="Verdana" w:hAnsi="Verdana"/>
          <w:sz w:val="22"/>
          <w:szCs w:val="22"/>
        </w:rPr>
        <w:t xml:space="preserve"> about integrated urban policy</w:t>
      </w:r>
      <w:r w:rsidRPr="000E4076">
        <w:rPr>
          <w:rFonts w:ascii="Verdana" w:hAnsi="Verdana"/>
          <w:sz w:val="22"/>
          <w:szCs w:val="22"/>
        </w:rPr>
        <w:t>,</w:t>
      </w:r>
      <w:r w:rsidR="00F239EE" w:rsidRPr="000E4076">
        <w:rPr>
          <w:rFonts w:ascii="Verdana" w:hAnsi="Verdana"/>
          <w:sz w:val="22"/>
          <w:szCs w:val="22"/>
        </w:rPr>
        <w:t xml:space="preserve"> t</w:t>
      </w:r>
      <w:r w:rsidRPr="000E4076">
        <w:rPr>
          <w:rFonts w:ascii="Verdana" w:hAnsi="Verdana"/>
          <w:sz w:val="22"/>
          <w:szCs w:val="22"/>
        </w:rPr>
        <w:t>he 2007 Territorial Agenda</w:t>
      </w:r>
      <w:r w:rsidR="00F239EE" w:rsidRPr="000E4076">
        <w:rPr>
          <w:rFonts w:ascii="Verdana" w:hAnsi="Verdana"/>
          <w:sz w:val="22"/>
          <w:szCs w:val="22"/>
        </w:rPr>
        <w:t xml:space="preserve"> about</w:t>
      </w:r>
      <w:r w:rsidRPr="000E4076">
        <w:rPr>
          <w:rFonts w:ascii="Verdana" w:hAnsi="Verdana"/>
          <w:sz w:val="22"/>
          <w:szCs w:val="22"/>
        </w:rPr>
        <w:t xml:space="preserve"> territorial cohesion</w:t>
      </w:r>
      <w:r w:rsidR="00F239EE" w:rsidRPr="000E4076">
        <w:rPr>
          <w:rFonts w:ascii="Verdana" w:hAnsi="Verdana"/>
          <w:sz w:val="22"/>
          <w:szCs w:val="22"/>
        </w:rPr>
        <w:t>, t</w:t>
      </w:r>
      <w:r w:rsidRPr="000E4076">
        <w:rPr>
          <w:rFonts w:ascii="Verdana" w:hAnsi="Verdana"/>
          <w:sz w:val="22"/>
          <w:szCs w:val="22"/>
        </w:rPr>
        <w:t>he 2008 Marseilles Statement</w:t>
      </w:r>
      <w:r w:rsidR="0047572C" w:rsidRPr="000E4076">
        <w:rPr>
          <w:rFonts w:ascii="Verdana" w:hAnsi="Verdana"/>
          <w:sz w:val="22"/>
          <w:szCs w:val="22"/>
        </w:rPr>
        <w:t xml:space="preserve"> which launched</w:t>
      </w:r>
      <w:r w:rsidRPr="000E4076">
        <w:rPr>
          <w:rFonts w:ascii="Verdana" w:hAnsi="Verdana"/>
          <w:sz w:val="22"/>
          <w:szCs w:val="22"/>
        </w:rPr>
        <w:t xml:space="preserve"> </w:t>
      </w:r>
      <w:r w:rsidR="0047572C" w:rsidRPr="000E4076">
        <w:rPr>
          <w:rFonts w:ascii="Verdana" w:hAnsi="Verdana"/>
          <w:sz w:val="22"/>
          <w:szCs w:val="22"/>
        </w:rPr>
        <w:t xml:space="preserve">the </w:t>
      </w:r>
      <w:r w:rsidRPr="000E4076">
        <w:rPr>
          <w:rFonts w:ascii="Verdana" w:hAnsi="Verdana"/>
          <w:sz w:val="22"/>
          <w:szCs w:val="22"/>
        </w:rPr>
        <w:t>European Reference Framework for Sustainable Cities integrate</w:t>
      </w:r>
      <w:r w:rsidR="0047572C" w:rsidRPr="000E4076">
        <w:rPr>
          <w:rFonts w:ascii="Verdana" w:hAnsi="Verdana"/>
          <w:sz w:val="22"/>
          <w:szCs w:val="22"/>
        </w:rPr>
        <w:t>d</w:t>
      </w:r>
      <w:r w:rsidRPr="000E4076">
        <w:rPr>
          <w:rFonts w:ascii="Verdana" w:hAnsi="Verdana"/>
          <w:sz w:val="22"/>
          <w:szCs w:val="22"/>
        </w:rPr>
        <w:t xml:space="preserve"> </w:t>
      </w:r>
      <w:r w:rsidR="0047572C" w:rsidRPr="000E4076">
        <w:rPr>
          <w:rFonts w:ascii="Verdana" w:hAnsi="Verdana"/>
          <w:sz w:val="22"/>
          <w:szCs w:val="22"/>
        </w:rPr>
        <w:t>now in</w:t>
      </w:r>
      <w:r w:rsidRPr="000E4076">
        <w:rPr>
          <w:rFonts w:ascii="Verdana" w:hAnsi="Verdana"/>
          <w:sz w:val="22"/>
          <w:szCs w:val="22"/>
        </w:rPr>
        <w:t xml:space="preserve"> URBACT III; </w:t>
      </w:r>
      <w:r w:rsidR="0047572C" w:rsidRPr="000E4076">
        <w:rPr>
          <w:rFonts w:ascii="Verdana" w:hAnsi="Verdana"/>
          <w:sz w:val="22"/>
          <w:szCs w:val="22"/>
        </w:rPr>
        <w:t>t</w:t>
      </w:r>
      <w:r w:rsidRPr="000E4076">
        <w:rPr>
          <w:rFonts w:ascii="Verdana" w:hAnsi="Verdana"/>
          <w:sz w:val="22"/>
          <w:szCs w:val="22"/>
        </w:rPr>
        <w:t>he 2008 Barca Report</w:t>
      </w:r>
      <w:r w:rsidRPr="000E4076">
        <w:rPr>
          <w:rFonts w:ascii="Verdana" w:hAnsi="Verdana"/>
          <w:sz w:val="22"/>
          <w:szCs w:val="22"/>
          <w:vertAlign w:val="superscript"/>
        </w:rPr>
        <w:footnoteReference w:id="20"/>
      </w:r>
      <w:r w:rsidRPr="000E4076">
        <w:rPr>
          <w:rFonts w:ascii="Verdana" w:hAnsi="Verdana"/>
          <w:sz w:val="22"/>
          <w:szCs w:val="22"/>
        </w:rPr>
        <w:t xml:space="preserve"> </w:t>
      </w:r>
      <w:r w:rsidR="0047572C" w:rsidRPr="000E4076">
        <w:rPr>
          <w:rFonts w:ascii="Verdana" w:hAnsi="Verdana"/>
          <w:sz w:val="22"/>
          <w:szCs w:val="22"/>
        </w:rPr>
        <w:t xml:space="preserve">on </w:t>
      </w:r>
      <w:r w:rsidRPr="000E4076">
        <w:rPr>
          <w:rFonts w:ascii="Verdana" w:hAnsi="Verdana"/>
          <w:sz w:val="22"/>
          <w:szCs w:val="22"/>
        </w:rPr>
        <w:t>‘place based’ approaches in regional development</w:t>
      </w:r>
      <w:r w:rsidR="0047572C" w:rsidRPr="000E4076">
        <w:rPr>
          <w:rFonts w:ascii="Verdana" w:hAnsi="Verdana"/>
          <w:sz w:val="22"/>
          <w:szCs w:val="22"/>
        </w:rPr>
        <w:t>, t</w:t>
      </w:r>
      <w:r w:rsidRPr="000E4076">
        <w:rPr>
          <w:rFonts w:ascii="Verdana" w:hAnsi="Verdana"/>
          <w:sz w:val="22"/>
          <w:szCs w:val="22"/>
        </w:rPr>
        <w:t xml:space="preserve">he 2010 Toledo Declaration, </w:t>
      </w:r>
      <w:r w:rsidR="0047572C" w:rsidRPr="000E4076">
        <w:rPr>
          <w:rFonts w:ascii="Verdana" w:hAnsi="Verdana"/>
          <w:sz w:val="22"/>
          <w:szCs w:val="22"/>
        </w:rPr>
        <w:t>t</w:t>
      </w:r>
      <w:r w:rsidRPr="000E4076">
        <w:rPr>
          <w:rFonts w:ascii="Verdana" w:hAnsi="Verdana"/>
          <w:sz w:val="22"/>
          <w:szCs w:val="22"/>
        </w:rPr>
        <w:t>he Europe 2020</w:t>
      </w:r>
      <w:r w:rsidR="0047572C" w:rsidRPr="000E4076">
        <w:rPr>
          <w:rFonts w:ascii="Verdana" w:hAnsi="Verdana"/>
          <w:sz w:val="22"/>
          <w:szCs w:val="22"/>
        </w:rPr>
        <w:t xml:space="preserve">, the </w:t>
      </w:r>
      <w:r w:rsidRPr="000E4076">
        <w:rPr>
          <w:rFonts w:ascii="Verdana" w:hAnsi="Verdana"/>
          <w:sz w:val="22"/>
          <w:szCs w:val="22"/>
        </w:rPr>
        <w:t>2011</w:t>
      </w:r>
      <w:r w:rsidR="0047572C" w:rsidRPr="000E4076">
        <w:rPr>
          <w:rFonts w:ascii="Verdana" w:hAnsi="Verdana"/>
          <w:sz w:val="22"/>
          <w:szCs w:val="22"/>
        </w:rPr>
        <w:t xml:space="preserve"> </w:t>
      </w:r>
      <w:r w:rsidRPr="000E4076">
        <w:rPr>
          <w:rFonts w:ascii="Verdana" w:hAnsi="Verdana"/>
          <w:sz w:val="22"/>
          <w:szCs w:val="22"/>
        </w:rPr>
        <w:t>report Cities of Tomorrow – Challenges, Visions and Ways forward</w:t>
      </w:r>
      <w:r w:rsidR="0047572C" w:rsidRPr="000E4076">
        <w:rPr>
          <w:rFonts w:ascii="Verdana" w:hAnsi="Verdana"/>
          <w:sz w:val="22"/>
          <w:szCs w:val="22"/>
        </w:rPr>
        <w:t>.</w:t>
      </w:r>
    </w:p>
    <w:p w:rsidR="00C17DB5" w:rsidRPr="000E4076" w:rsidRDefault="00C17DB5" w:rsidP="00A30018">
      <w:pPr>
        <w:spacing w:after="120" w:line="276" w:lineRule="auto"/>
        <w:jc w:val="both"/>
        <w:rPr>
          <w:rFonts w:ascii="Verdana" w:hAnsi="Verdana"/>
          <w:sz w:val="22"/>
          <w:szCs w:val="22"/>
        </w:rPr>
      </w:pPr>
      <w:r w:rsidRPr="000E4076">
        <w:rPr>
          <w:rFonts w:ascii="Verdana" w:hAnsi="Verdana"/>
          <w:sz w:val="22"/>
          <w:szCs w:val="22"/>
        </w:rPr>
        <w:t>Translating th</w:t>
      </w:r>
      <w:r w:rsidR="00194481" w:rsidRPr="000E4076">
        <w:rPr>
          <w:rFonts w:ascii="Verdana" w:hAnsi="Verdana"/>
          <w:sz w:val="22"/>
          <w:szCs w:val="22"/>
        </w:rPr>
        <w:t>ese</w:t>
      </w:r>
      <w:r w:rsidRPr="000E4076">
        <w:rPr>
          <w:rFonts w:ascii="Verdana" w:hAnsi="Verdana"/>
          <w:sz w:val="22"/>
          <w:szCs w:val="22"/>
        </w:rPr>
        <w:t xml:space="preserve"> </w:t>
      </w:r>
      <w:r w:rsidR="004077C9" w:rsidRPr="000E4076">
        <w:rPr>
          <w:rFonts w:ascii="Verdana" w:hAnsi="Verdana"/>
          <w:sz w:val="22"/>
          <w:szCs w:val="22"/>
        </w:rPr>
        <w:t xml:space="preserve">general principles of sustainable urban development agreed at EU level into daily practice of urban management </w:t>
      </w:r>
      <w:r w:rsidRPr="000E4076">
        <w:rPr>
          <w:rFonts w:ascii="Verdana" w:hAnsi="Verdana"/>
          <w:sz w:val="22"/>
          <w:szCs w:val="22"/>
        </w:rPr>
        <w:t xml:space="preserve">has proved to be challenging for the cities themselves. A number of reports for the URBACT programme reveal that the cities which the programme engages have very specific needs. </w:t>
      </w:r>
    </w:p>
    <w:p w:rsidR="00C17DB5" w:rsidRPr="000E4076" w:rsidRDefault="00C17DB5" w:rsidP="00D67ECF">
      <w:pPr>
        <w:pStyle w:val="Paragraphedeliste3"/>
        <w:numPr>
          <w:ilvl w:val="0"/>
          <w:numId w:val="23"/>
        </w:numPr>
        <w:spacing w:after="120"/>
        <w:ind w:left="924" w:hanging="357"/>
        <w:jc w:val="both"/>
        <w:rPr>
          <w:rFonts w:ascii="Verdana" w:hAnsi="Verdana"/>
        </w:rPr>
      </w:pPr>
      <w:r w:rsidRPr="000E4076">
        <w:rPr>
          <w:rFonts w:ascii="Verdana" w:hAnsi="Verdana"/>
        </w:rPr>
        <w:t>The interim evaluation</w:t>
      </w:r>
      <w:r w:rsidRPr="000E4076">
        <w:rPr>
          <w:rStyle w:val="a5"/>
          <w:rFonts w:ascii="Verdana" w:hAnsi="Verdana"/>
        </w:rPr>
        <w:footnoteReference w:id="21"/>
      </w:r>
      <w:r w:rsidRPr="000E4076">
        <w:rPr>
          <w:rFonts w:ascii="Verdana" w:hAnsi="Verdana"/>
        </w:rPr>
        <w:t xml:space="preserve"> emphasised that first round action plans were struggling  to find funding in ERDF operational programmes </w:t>
      </w:r>
    </w:p>
    <w:p w:rsidR="00C17DB5" w:rsidRPr="000E4076" w:rsidRDefault="00C17DB5" w:rsidP="00D67ECF">
      <w:pPr>
        <w:pStyle w:val="Paragraphedeliste3"/>
        <w:numPr>
          <w:ilvl w:val="0"/>
          <w:numId w:val="23"/>
        </w:numPr>
        <w:spacing w:after="120"/>
        <w:ind w:left="924" w:hanging="357"/>
        <w:jc w:val="both"/>
        <w:rPr>
          <w:rFonts w:ascii="Verdana" w:hAnsi="Verdana"/>
        </w:rPr>
      </w:pPr>
      <w:r w:rsidRPr="000E4076">
        <w:rPr>
          <w:rFonts w:ascii="Verdana" w:hAnsi="Verdana"/>
        </w:rPr>
        <w:t xml:space="preserve">An URBACT study on local action plans made two years after completion found that 90% of first round action plans were at least partially implemented. More had deployed local finance than had accessed EU funds. The study highlighted the benefit of the involvement of local stakeholders and of the participation of several departments of the municipality in the preparation of the action plans. </w:t>
      </w:r>
    </w:p>
    <w:p w:rsidR="00C17DB5" w:rsidRPr="000E4076" w:rsidRDefault="00C17DB5" w:rsidP="00A30018">
      <w:pPr>
        <w:spacing w:after="120" w:line="276" w:lineRule="auto"/>
        <w:jc w:val="both"/>
        <w:rPr>
          <w:rFonts w:ascii="Verdana" w:hAnsi="Verdana"/>
          <w:sz w:val="22"/>
          <w:szCs w:val="22"/>
        </w:rPr>
      </w:pPr>
      <w:r w:rsidRPr="000E4076">
        <w:rPr>
          <w:rFonts w:ascii="Verdana" w:hAnsi="Verdana"/>
          <w:sz w:val="22"/>
          <w:szCs w:val="22"/>
        </w:rPr>
        <w:t>URBACT surveyed cities in 2012</w:t>
      </w:r>
      <w:r w:rsidRPr="000E4076">
        <w:rPr>
          <w:rStyle w:val="a5"/>
          <w:rFonts w:ascii="Verdana" w:eastAsia="SimSun" w:hAnsi="Verdana"/>
          <w:sz w:val="22"/>
          <w:szCs w:val="22"/>
        </w:rPr>
        <w:footnoteReference w:id="22"/>
      </w:r>
      <w:r w:rsidRPr="000E4076">
        <w:rPr>
          <w:rFonts w:ascii="Verdana" w:hAnsi="Verdana"/>
          <w:sz w:val="22"/>
          <w:szCs w:val="22"/>
        </w:rPr>
        <w:t xml:space="preserve"> to identify needs. This survey found that </w:t>
      </w:r>
      <w:r w:rsidRPr="000E4076">
        <w:rPr>
          <w:rFonts w:ascii="Verdana" w:hAnsi="Verdana"/>
          <w:bCs/>
          <w:sz w:val="22"/>
          <w:szCs w:val="22"/>
        </w:rPr>
        <w:t>cities want to keep the focus on networks of cities for exchange as the core engine of the programme. They also expressed a clear need to build their capacities in developing and implementing integrated urban policies and to increase expert support at local level. Finally they asked for mechanisms to increase the Local Action Plans implementation rate, including concrete links with funds available: Operational Programmes, public private financing (</w:t>
      </w:r>
      <w:r w:rsidRPr="000E4076">
        <w:rPr>
          <w:rFonts w:ascii="Verdana" w:hAnsi="Verdana"/>
          <w:sz w:val="22"/>
          <w:szCs w:val="22"/>
        </w:rPr>
        <w:t>revolving funds, JESSICA).</w:t>
      </w:r>
    </w:p>
    <w:p w:rsidR="00C17DB5" w:rsidRPr="000E4076" w:rsidRDefault="00C17DB5" w:rsidP="00A30018">
      <w:pPr>
        <w:spacing w:after="120" w:line="276" w:lineRule="auto"/>
        <w:rPr>
          <w:rFonts w:ascii="Verdana" w:hAnsi="Verdana"/>
          <w:sz w:val="22"/>
          <w:szCs w:val="22"/>
        </w:rPr>
      </w:pPr>
      <w:r w:rsidRPr="000E4076">
        <w:rPr>
          <w:rFonts w:ascii="Verdana" w:hAnsi="Verdana"/>
          <w:sz w:val="22"/>
          <w:szCs w:val="22"/>
        </w:rPr>
        <w:t>Based on these lessons four main areas of need have been identified; these areas will require an extension of activities for URBACT III.</w:t>
      </w:r>
    </w:p>
    <w:p w:rsidR="000565D8" w:rsidRPr="000E4076" w:rsidRDefault="000565D8" w:rsidP="00A30018">
      <w:pPr>
        <w:pStyle w:val="5"/>
        <w:spacing w:after="120"/>
        <w:rPr>
          <w:rFonts w:ascii="Verdana" w:hAnsi="Verdana"/>
          <w:sz w:val="22"/>
          <w:szCs w:val="22"/>
        </w:rPr>
      </w:pPr>
    </w:p>
    <w:p w:rsidR="00C17DB5" w:rsidRPr="00A72D85" w:rsidRDefault="00C17DB5" w:rsidP="00A30018">
      <w:pPr>
        <w:pStyle w:val="5"/>
        <w:spacing w:after="120"/>
        <w:rPr>
          <w:rFonts w:ascii="Verdana" w:hAnsi="Verdana"/>
          <w:b/>
          <w:sz w:val="22"/>
          <w:szCs w:val="22"/>
        </w:rPr>
      </w:pPr>
      <w:r w:rsidRPr="00A72D85">
        <w:rPr>
          <w:rFonts w:ascii="Verdana" w:hAnsi="Verdana"/>
          <w:b/>
          <w:sz w:val="22"/>
          <w:szCs w:val="22"/>
        </w:rPr>
        <w:t xml:space="preserve">1 Cities need to improve their capacity to develop and implement integrated urban </w:t>
      </w:r>
      <w:r w:rsidR="00194481" w:rsidRPr="00A72D85">
        <w:rPr>
          <w:rFonts w:ascii="Verdana" w:hAnsi="Verdana"/>
          <w:b/>
          <w:sz w:val="22"/>
          <w:szCs w:val="22"/>
        </w:rPr>
        <w:t>strategies and actions</w:t>
      </w:r>
    </w:p>
    <w:p w:rsidR="00A30018" w:rsidRDefault="00A30018" w:rsidP="00A30018">
      <w:pPr>
        <w:spacing w:after="120" w:line="276" w:lineRule="auto"/>
        <w:jc w:val="both"/>
        <w:rPr>
          <w:rFonts w:ascii="Verdana" w:hAnsi="Verdana"/>
          <w:sz w:val="22"/>
          <w:szCs w:val="22"/>
        </w:rPr>
      </w:pPr>
    </w:p>
    <w:p w:rsidR="00C17DB5" w:rsidRPr="000E4076" w:rsidRDefault="00C17DB5" w:rsidP="00A30018">
      <w:pPr>
        <w:spacing w:after="120" w:line="276" w:lineRule="auto"/>
        <w:jc w:val="both"/>
        <w:rPr>
          <w:rFonts w:ascii="Verdana" w:hAnsi="Verdana"/>
          <w:sz w:val="22"/>
          <w:szCs w:val="22"/>
        </w:rPr>
      </w:pPr>
      <w:r w:rsidRPr="000E4076">
        <w:rPr>
          <w:rFonts w:ascii="Verdana" w:hAnsi="Verdana"/>
          <w:sz w:val="22"/>
          <w:szCs w:val="22"/>
        </w:rPr>
        <w:t xml:space="preserve">Cities need to build their capacities </w:t>
      </w:r>
      <w:r w:rsidRPr="000E4076">
        <w:rPr>
          <w:rFonts w:ascii="Verdana" w:hAnsi="Verdana"/>
          <w:color w:val="000000"/>
          <w:sz w:val="22"/>
          <w:szCs w:val="22"/>
        </w:rPr>
        <w:t xml:space="preserve">to lead and to implement territorial strategy with a large range of partners, who often represent contradictory interests. </w:t>
      </w:r>
      <w:r w:rsidRPr="000E4076">
        <w:rPr>
          <w:rFonts w:ascii="Verdana" w:hAnsi="Verdana"/>
          <w:sz w:val="22"/>
          <w:szCs w:val="22"/>
        </w:rPr>
        <w:t xml:space="preserve">Capacity gaps are particularly severe among small and medium sized authorities across Europe and especially in the Southern </w:t>
      </w:r>
      <w:r w:rsidR="004077C9" w:rsidRPr="000E4076">
        <w:rPr>
          <w:rFonts w:ascii="Verdana" w:hAnsi="Verdana"/>
          <w:sz w:val="22"/>
          <w:szCs w:val="22"/>
        </w:rPr>
        <w:t xml:space="preserve">less developed </w:t>
      </w:r>
      <w:r w:rsidRPr="000E4076">
        <w:rPr>
          <w:rFonts w:ascii="Verdana" w:hAnsi="Verdana"/>
          <w:sz w:val="22"/>
          <w:szCs w:val="22"/>
        </w:rPr>
        <w:t>regions and in the EU1</w:t>
      </w:r>
      <w:r w:rsidR="00136AC6" w:rsidRPr="000E4076">
        <w:rPr>
          <w:rFonts w:ascii="Verdana" w:hAnsi="Verdana"/>
          <w:sz w:val="22"/>
          <w:szCs w:val="22"/>
        </w:rPr>
        <w:t>3</w:t>
      </w:r>
      <w:r w:rsidRPr="000E4076">
        <w:rPr>
          <w:rFonts w:ascii="Verdana" w:hAnsi="Verdana"/>
          <w:sz w:val="22"/>
          <w:szCs w:val="22"/>
        </w:rPr>
        <w:t xml:space="preserve"> outside the capital cities. There is a need to increase the capacity for action planning and implementation of practitioners, city managers, elected people, other stakeholders involved in local support groups</w:t>
      </w:r>
      <w:r w:rsidR="009210ED" w:rsidRPr="000E4076">
        <w:rPr>
          <w:rStyle w:val="a5"/>
          <w:rFonts w:ascii="Verdana" w:hAnsi="Verdana"/>
          <w:sz w:val="22"/>
          <w:szCs w:val="22"/>
        </w:rPr>
        <w:footnoteReference w:id="23"/>
      </w:r>
      <w:r w:rsidRPr="000E4076">
        <w:rPr>
          <w:rStyle w:val="a5"/>
          <w:rFonts w:ascii="Verdana" w:eastAsia="SimSun" w:hAnsi="Verdana"/>
          <w:sz w:val="22"/>
          <w:szCs w:val="22"/>
        </w:rPr>
        <w:footnoteReference w:id="24"/>
      </w:r>
      <w:r w:rsidR="00FB4A24" w:rsidRPr="000E4076">
        <w:rPr>
          <w:rFonts w:ascii="Verdana" w:hAnsi="Verdana"/>
          <w:sz w:val="22"/>
          <w:szCs w:val="22"/>
        </w:rPr>
        <w:t>.</w:t>
      </w:r>
    </w:p>
    <w:p w:rsidR="00C17DB5" w:rsidRPr="000E4076" w:rsidRDefault="00C17DB5" w:rsidP="00A30018">
      <w:pPr>
        <w:spacing w:after="120" w:line="276" w:lineRule="auto"/>
        <w:jc w:val="both"/>
        <w:rPr>
          <w:rFonts w:ascii="Verdana" w:hAnsi="Verdana"/>
          <w:sz w:val="22"/>
          <w:szCs w:val="22"/>
        </w:rPr>
      </w:pPr>
      <w:r w:rsidRPr="000E4076">
        <w:rPr>
          <w:rFonts w:ascii="Verdana" w:hAnsi="Verdana"/>
          <w:sz w:val="22"/>
          <w:szCs w:val="22"/>
        </w:rPr>
        <w:t xml:space="preserve">Due to the specificity of urban issues, city teams need to become adept at breaking down silos and developing integrated and place-based solutions that cross the boundaries of government bodies, disciplines, or municipal borders. This will often involve developing new organisational models within the municipalities (new integrated management structures, flatter hierarchies, team working, etc.). </w:t>
      </w:r>
    </w:p>
    <w:p w:rsidR="00C17DB5" w:rsidRPr="000E4076" w:rsidRDefault="00C17DB5" w:rsidP="00A30018">
      <w:pPr>
        <w:spacing w:after="120" w:line="276" w:lineRule="auto"/>
        <w:jc w:val="both"/>
        <w:rPr>
          <w:rFonts w:ascii="Verdana" w:hAnsi="Verdana"/>
          <w:sz w:val="22"/>
          <w:szCs w:val="22"/>
        </w:rPr>
      </w:pPr>
      <w:r w:rsidRPr="000E4076">
        <w:rPr>
          <w:rFonts w:ascii="Verdana" w:hAnsi="Verdana"/>
          <w:sz w:val="22"/>
          <w:szCs w:val="22"/>
        </w:rPr>
        <w:t>City teams need to develop methods and processes to involve relevant stakeholders in policy making, in the preparation of strategies and local action plans.  There are many techniques for facilitating participation being used by cities across Europe but there is still a need to bring this body of knowledge together at European level and make it more widely available.</w:t>
      </w:r>
    </w:p>
    <w:p w:rsidR="00A72D85" w:rsidRDefault="00A72D85">
      <w:pPr>
        <w:rPr>
          <w:rFonts w:ascii="Verdana" w:hAnsi="Verdana"/>
          <w:bCs/>
          <w:sz w:val="22"/>
          <w:szCs w:val="22"/>
        </w:rPr>
      </w:pPr>
      <w:r>
        <w:rPr>
          <w:rFonts w:ascii="Verdana" w:hAnsi="Verdana"/>
          <w:bCs/>
          <w:sz w:val="22"/>
          <w:szCs w:val="22"/>
        </w:rPr>
        <w:br w:type="page"/>
      </w:r>
    </w:p>
    <w:p w:rsidR="00C17DB5" w:rsidRPr="00A72D85" w:rsidRDefault="00C17DB5" w:rsidP="00A30018">
      <w:pPr>
        <w:pStyle w:val="5"/>
        <w:spacing w:after="120"/>
        <w:rPr>
          <w:rFonts w:ascii="Verdana" w:hAnsi="Verdana"/>
          <w:b/>
          <w:sz w:val="22"/>
          <w:szCs w:val="22"/>
        </w:rPr>
      </w:pPr>
      <w:r w:rsidRPr="00A72D85">
        <w:rPr>
          <w:rFonts w:ascii="Verdana" w:hAnsi="Verdana"/>
          <w:b/>
          <w:sz w:val="22"/>
          <w:szCs w:val="22"/>
        </w:rPr>
        <w:t>2 Cities need integrated urban strategies and action</w:t>
      </w:r>
      <w:r w:rsidR="00895F00" w:rsidRPr="00A72D85">
        <w:rPr>
          <w:rFonts w:ascii="Verdana" w:hAnsi="Verdana"/>
          <w:b/>
          <w:sz w:val="22"/>
          <w:szCs w:val="22"/>
        </w:rPr>
        <w:t>s</w:t>
      </w:r>
      <w:r w:rsidRPr="00A72D85">
        <w:rPr>
          <w:rFonts w:ascii="Verdana" w:hAnsi="Verdana"/>
          <w:b/>
          <w:sz w:val="22"/>
          <w:szCs w:val="22"/>
        </w:rPr>
        <w:t xml:space="preserve"> for sustainable development.</w:t>
      </w:r>
    </w:p>
    <w:p w:rsidR="00C17DB5" w:rsidRPr="000E4076" w:rsidRDefault="00C17DB5" w:rsidP="00A30018">
      <w:pPr>
        <w:spacing w:after="120" w:line="276" w:lineRule="auto"/>
        <w:jc w:val="both"/>
        <w:rPr>
          <w:rFonts w:ascii="Verdana" w:hAnsi="Verdana"/>
          <w:color w:val="000000"/>
          <w:sz w:val="22"/>
          <w:szCs w:val="22"/>
        </w:rPr>
      </w:pPr>
    </w:p>
    <w:p w:rsidR="00C17DB5" w:rsidRPr="000E4076" w:rsidRDefault="00412A4C" w:rsidP="00A30018">
      <w:pPr>
        <w:spacing w:after="120" w:line="276" w:lineRule="auto"/>
        <w:jc w:val="both"/>
        <w:rPr>
          <w:rFonts w:ascii="Verdana" w:hAnsi="Verdana"/>
          <w:sz w:val="22"/>
          <w:szCs w:val="22"/>
        </w:rPr>
      </w:pPr>
      <w:r w:rsidRPr="000E4076">
        <w:rPr>
          <w:rFonts w:ascii="Verdana" w:hAnsi="Verdana"/>
          <w:sz w:val="22"/>
          <w:szCs w:val="22"/>
        </w:rPr>
        <w:t>The Leipzig Charter with its emphasis on strategies for integrated and participative sustainable development was received positively by urban local authorities; meanwhile a strong need to develop these strategies at local level remains.</w:t>
      </w:r>
      <w:r w:rsidRPr="000E4076">
        <w:rPr>
          <w:rStyle w:val="afa"/>
          <w:rFonts w:ascii="Verdana" w:eastAsia="Calibri" w:hAnsi="Verdana"/>
          <w:sz w:val="22"/>
          <w:szCs w:val="22"/>
          <w:lang w:eastAsia="en-US"/>
        </w:rPr>
        <w:t xml:space="preserve"> </w:t>
      </w:r>
      <w:r w:rsidRPr="000E4076">
        <w:rPr>
          <w:rFonts w:ascii="Verdana" w:hAnsi="Verdana"/>
          <w:sz w:val="22"/>
          <w:szCs w:val="22"/>
        </w:rPr>
        <w:t>UR</w:t>
      </w:r>
      <w:r w:rsidR="00C17DB5" w:rsidRPr="000E4076">
        <w:rPr>
          <w:rFonts w:ascii="Verdana" w:hAnsi="Verdana"/>
          <w:sz w:val="22"/>
          <w:szCs w:val="22"/>
        </w:rPr>
        <w:t>BACT II has been working to fill the gap through its local support groups which develop integrated local action plans. The quality of local strategies and action plans and the links with the mainstream programmes have still to be enhanced.</w:t>
      </w:r>
    </w:p>
    <w:p w:rsidR="00C17DB5" w:rsidRPr="000E4076" w:rsidRDefault="00C17DB5" w:rsidP="00A30018">
      <w:pPr>
        <w:spacing w:after="120" w:line="276" w:lineRule="auto"/>
        <w:jc w:val="both"/>
        <w:rPr>
          <w:rFonts w:ascii="Verdana" w:hAnsi="Verdana"/>
          <w:sz w:val="22"/>
          <w:szCs w:val="22"/>
        </w:rPr>
      </w:pPr>
      <w:r w:rsidRPr="000E4076">
        <w:rPr>
          <w:rFonts w:ascii="Verdana" w:hAnsi="Verdana"/>
          <w:sz w:val="22"/>
          <w:szCs w:val="22"/>
        </w:rPr>
        <w:t xml:space="preserve">To achieve quality, local strategies and action plans have to be designed based on a horizontal and vertical integration of actions and policies with more empowerment and participation of local stakeholders. </w:t>
      </w:r>
    </w:p>
    <w:p w:rsidR="00C17DB5" w:rsidRPr="000E4076" w:rsidRDefault="00C17DB5" w:rsidP="00A30018">
      <w:pPr>
        <w:spacing w:after="120" w:line="276" w:lineRule="auto"/>
        <w:jc w:val="both"/>
        <w:rPr>
          <w:rFonts w:ascii="Verdana" w:hAnsi="Verdana"/>
          <w:color w:val="000000"/>
          <w:sz w:val="22"/>
          <w:szCs w:val="22"/>
        </w:rPr>
      </w:pPr>
      <w:r w:rsidRPr="000E4076">
        <w:rPr>
          <w:rFonts w:ascii="Verdana" w:hAnsi="Verdana"/>
          <w:color w:val="000000"/>
          <w:sz w:val="22"/>
          <w:szCs w:val="22"/>
        </w:rPr>
        <w:t xml:space="preserve">Due to the complexity of urban challenges there is a need for a horizontal integration of the different social, economic, environmental and spatial dimensions. This requires a different type of working between departments within municipalities and among professions with more inter-disciplinary teams and decentralised decision making. </w:t>
      </w:r>
    </w:p>
    <w:p w:rsidR="00C17DB5" w:rsidRPr="000E4076" w:rsidRDefault="00C17DB5" w:rsidP="00A30018">
      <w:pPr>
        <w:spacing w:after="120" w:line="276" w:lineRule="auto"/>
        <w:jc w:val="both"/>
        <w:rPr>
          <w:rFonts w:ascii="Verdana" w:hAnsi="Verdana"/>
          <w:color w:val="000000"/>
          <w:sz w:val="22"/>
          <w:szCs w:val="22"/>
        </w:rPr>
      </w:pPr>
      <w:r w:rsidRPr="000E4076">
        <w:rPr>
          <w:rFonts w:ascii="Verdana" w:hAnsi="Verdana"/>
          <w:color w:val="000000"/>
          <w:sz w:val="22"/>
          <w:szCs w:val="22"/>
        </w:rPr>
        <w:t xml:space="preserve">Due to the increased </w:t>
      </w:r>
      <w:r w:rsidR="00C01195" w:rsidRPr="000E4076">
        <w:rPr>
          <w:rFonts w:ascii="Verdana" w:hAnsi="Verdana"/>
          <w:color w:val="000000"/>
          <w:sz w:val="22"/>
          <w:szCs w:val="22"/>
        </w:rPr>
        <w:t>inter</w:t>
      </w:r>
      <w:r w:rsidRPr="000E4076">
        <w:rPr>
          <w:rFonts w:ascii="Verdana" w:hAnsi="Verdana"/>
          <w:color w:val="000000"/>
          <w:sz w:val="22"/>
          <w:szCs w:val="22"/>
        </w:rPr>
        <w:t>dependence of city</w:t>
      </w:r>
      <w:r w:rsidR="00C01195" w:rsidRPr="000E4076">
        <w:rPr>
          <w:rFonts w:ascii="Verdana" w:hAnsi="Verdana"/>
          <w:color w:val="000000"/>
          <w:sz w:val="22"/>
          <w:szCs w:val="22"/>
        </w:rPr>
        <w:t>,</w:t>
      </w:r>
      <w:r w:rsidRPr="000E4076">
        <w:rPr>
          <w:rFonts w:ascii="Verdana" w:hAnsi="Verdana"/>
          <w:color w:val="000000"/>
          <w:sz w:val="22"/>
          <w:szCs w:val="22"/>
        </w:rPr>
        <w:t xml:space="preserve"> regional </w:t>
      </w:r>
      <w:r w:rsidR="00123559" w:rsidRPr="000E4076">
        <w:rPr>
          <w:rFonts w:ascii="Verdana" w:hAnsi="Verdana"/>
          <w:color w:val="000000"/>
          <w:sz w:val="22"/>
          <w:szCs w:val="22"/>
        </w:rPr>
        <w:t>and</w:t>
      </w:r>
      <w:r w:rsidRPr="000E4076">
        <w:rPr>
          <w:rFonts w:ascii="Verdana" w:hAnsi="Verdana"/>
          <w:color w:val="000000"/>
          <w:sz w:val="22"/>
          <w:szCs w:val="22"/>
        </w:rPr>
        <w:t xml:space="preserve"> metropolitan level</w:t>
      </w:r>
      <w:r w:rsidR="00123559" w:rsidRPr="000E4076">
        <w:rPr>
          <w:rFonts w:ascii="Verdana" w:hAnsi="Verdana"/>
          <w:color w:val="000000"/>
          <w:sz w:val="22"/>
          <w:szCs w:val="22"/>
        </w:rPr>
        <w:t>s</w:t>
      </w:r>
      <w:r w:rsidRPr="000E4076">
        <w:rPr>
          <w:rFonts w:ascii="Verdana" w:hAnsi="Verdana"/>
          <w:color w:val="000000"/>
          <w:sz w:val="22"/>
          <w:szCs w:val="22"/>
        </w:rPr>
        <w:t xml:space="preserve">, and </w:t>
      </w:r>
      <w:r w:rsidR="00C77F3F" w:rsidRPr="000E4076">
        <w:rPr>
          <w:rFonts w:ascii="Verdana" w:hAnsi="Verdana"/>
          <w:color w:val="000000"/>
          <w:sz w:val="22"/>
          <w:szCs w:val="22"/>
        </w:rPr>
        <w:t xml:space="preserve">of </w:t>
      </w:r>
      <w:r w:rsidRPr="000E4076">
        <w:rPr>
          <w:rFonts w:ascii="Verdana" w:hAnsi="Verdana"/>
          <w:color w:val="000000"/>
          <w:sz w:val="22"/>
          <w:szCs w:val="22"/>
        </w:rPr>
        <w:t xml:space="preserve">the core urban city </w:t>
      </w:r>
      <w:r w:rsidR="00C77F3F" w:rsidRPr="000E4076">
        <w:rPr>
          <w:rFonts w:ascii="Verdana" w:hAnsi="Verdana"/>
          <w:color w:val="000000"/>
          <w:sz w:val="22"/>
          <w:szCs w:val="22"/>
        </w:rPr>
        <w:t xml:space="preserve">with </w:t>
      </w:r>
      <w:r w:rsidRPr="000E4076">
        <w:rPr>
          <w:rFonts w:ascii="Verdana" w:hAnsi="Verdana"/>
          <w:color w:val="000000"/>
          <w:sz w:val="22"/>
          <w:szCs w:val="22"/>
        </w:rPr>
        <w:t>its more rural surrounding, there is a need of vertical integration. Beyond administrative borders, new ways of working are necessary based on the identification of common challenges.</w:t>
      </w:r>
    </w:p>
    <w:p w:rsidR="00C17DB5" w:rsidRPr="000E4076" w:rsidRDefault="00C17DB5" w:rsidP="00A30018">
      <w:pPr>
        <w:spacing w:after="120" w:line="276" w:lineRule="auto"/>
        <w:jc w:val="both"/>
        <w:rPr>
          <w:rFonts w:ascii="Verdana" w:hAnsi="Verdana"/>
          <w:sz w:val="22"/>
          <w:szCs w:val="22"/>
        </w:rPr>
      </w:pPr>
    </w:p>
    <w:p w:rsidR="00C17DB5" w:rsidRPr="00A72D85" w:rsidRDefault="00C17DB5" w:rsidP="00A30018">
      <w:pPr>
        <w:pStyle w:val="5"/>
        <w:spacing w:after="120"/>
        <w:rPr>
          <w:rFonts w:ascii="Verdana" w:hAnsi="Verdana"/>
          <w:b/>
          <w:sz w:val="22"/>
          <w:szCs w:val="22"/>
        </w:rPr>
      </w:pPr>
      <w:r w:rsidRPr="00A72D85">
        <w:rPr>
          <w:rFonts w:ascii="Verdana" w:hAnsi="Verdana"/>
          <w:b/>
          <w:sz w:val="22"/>
          <w:szCs w:val="22"/>
        </w:rPr>
        <w:t xml:space="preserve">3 Cities need support for implementation of their integrated urban strategies and actions. </w:t>
      </w:r>
    </w:p>
    <w:p w:rsidR="00C17DB5" w:rsidRPr="000E4076" w:rsidRDefault="00C17DB5" w:rsidP="00A30018">
      <w:pPr>
        <w:spacing w:after="120" w:line="276" w:lineRule="auto"/>
        <w:jc w:val="both"/>
        <w:rPr>
          <w:rFonts w:ascii="Verdana" w:hAnsi="Verdana"/>
          <w:sz w:val="22"/>
          <w:szCs w:val="22"/>
        </w:rPr>
      </w:pPr>
    </w:p>
    <w:p w:rsidR="00C17DB5" w:rsidRPr="000E4076" w:rsidRDefault="00C17DB5" w:rsidP="00A30018">
      <w:pPr>
        <w:spacing w:after="120" w:line="276" w:lineRule="auto"/>
        <w:jc w:val="both"/>
        <w:rPr>
          <w:rFonts w:ascii="Verdana" w:hAnsi="Verdana"/>
          <w:sz w:val="22"/>
          <w:szCs w:val="22"/>
        </w:rPr>
      </w:pPr>
      <w:r w:rsidRPr="000E4076">
        <w:rPr>
          <w:rFonts w:ascii="Verdana" w:hAnsi="Verdana"/>
          <w:sz w:val="22"/>
          <w:szCs w:val="22"/>
        </w:rPr>
        <w:t xml:space="preserve">Cities need support not only to plan their strategy and actions; they also need support to improve the implementation of integrated urban strategies and actions. This relates to all </w:t>
      </w:r>
      <w:r w:rsidR="00C77F3F" w:rsidRPr="000E4076">
        <w:rPr>
          <w:rFonts w:ascii="Verdana" w:hAnsi="Verdana"/>
          <w:sz w:val="22"/>
          <w:szCs w:val="22"/>
        </w:rPr>
        <w:t xml:space="preserve">types of </w:t>
      </w:r>
      <w:r w:rsidRPr="000E4076">
        <w:rPr>
          <w:rFonts w:ascii="Verdana" w:hAnsi="Verdana"/>
          <w:sz w:val="22"/>
          <w:szCs w:val="22"/>
        </w:rPr>
        <w:t xml:space="preserve">cities in Europe which are mobilizing public or private, local, regional or national resources to implement their strategies. </w:t>
      </w:r>
    </w:p>
    <w:p w:rsidR="00C17DB5" w:rsidRPr="000E4076" w:rsidRDefault="00C17DB5" w:rsidP="00A30018">
      <w:pPr>
        <w:spacing w:after="120" w:line="276" w:lineRule="auto"/>
        <w:jc w:val="both"/>
        <w:rPr>
          <w:rFonts w:ascii="Verdana" w:hAnsi="Verdana"/>
          <w:sz w:val="22"/>
          <w:szCs w:val="22"/>
        </w:rPr>
      </w:pPr>
    </w:p>
    <w:p w:rsidR="00C17DB5" w:rsidRPr="000E4076" w:rsidRDefault="00C17DB5" w:rsidP="00A30018">
      <w:pPr>
        <w:spacing w:after="120" w:line="276" w:lineRule="auto"/>
        <w:jc w:val="both"/>
        <w:rPr>
          <w:rFonts w:ascii="Verdana" w:hAnsi="Verdana"/>
          <w:sz w:val="22"/>
          <w:szCs w:val="22"/>
        </w:rPr>
      </w:pPr>
      <w:r w:rsidRPr="000E4076">
        <w:rPr>
          <w:rFonts w:ascii="Verdana" w:hAnsi="Verdana"/>
          <w:sz w:val="22"/>
          <w:szCs w:val="22"/>
        </w:rPr>
        <w:t>Furthermore, with the new opportunities linked with the urban dimension, especially the article 7 of the ERDF regulation which requires a minimum of 5% of the national ERDF allocation to be put towards integrated sustainable urban development actions, a lot of cities will need support for a successful implementation of their strategies and actions in terms of speed, quality of execution, participatory process.</w:t>
      </w:r>
    </w:p>
    <w:p w:rsidR="00C17DB5" w:rsidRPr="000E4076" w:rsidRDefault="00C17DB5" w:rsidP="00A30018">
      <w:pPr>
        <w:pStyle w:val="5"/>
        <w:spacing w:after="120"/>
        <w:rPr>
          <w:rFonts w:ascii="Verdana" w:hAnsi="Verdana"/>
          <w:sz w:val="22"/>
          <w:szCs w:val="22"/>
        </w:rPr>
      </w:pPr>
    </w:p>
    <w:p w:rsidR="00A72D85" w:rsidRDefault="00A72D85" w:rsidP="00A30018">
      <w:pPr>
        <w:pStyle w:val="5"/>
        <w:spacing w:after="120"/>
        <w:rPr>
          <w:rFonts w:ascii="Verdana" w:hAnsi="Verdana"/>
          <w:b/>
          <w:sz w:val="22"/>
          <w:szCs w:val="22"/>
        </w:rPr>
      </w:pPr>
    </w:p>
    <w:p w:rsidR="00A72D85" w:rsidRDefault="00A72D85" w:rsidP="00A30018">
      <w:pPr>
        <w:pStyle w:val="5"/>
        <w:spacing w:after="120"/>
        <w:rPr>
          <w:rFonts w:ascii="Verdana" w:hAnsi="Verdana"/>
          <w:b/>
          <w:sz w:val="22"/>
          <w:szCs w:val="22"/>
        </w:rPr>
      </w:pPr>
    </w:p>
    <w:p w:rsidR="00C17DB5" w:rsidRPr="00A72D85" w:rsidRDefault="00C17DB5" w:rsidP="00A30018">
      <w:pPr>
        <w:pStyle w:val="5"/>
        <w:spacing w:after="120"/>
        <w:rPr>
          <w:rFonts w:ascii="Verdana" w:hAnsi="Verdana"/>
          <w:b/>
          <w:iCs/>
          <w:sz w:val="22"/>
          <w:szCs w:val="22"/>
        </w:rPr>
      </w:pPr>
      <w:r w:rsidRPr="00A72D85">
        <w:rPr>
          <w:rFonts w:ascii="Verdana" w:hAnsi="Verdana"/>
          <w:b/>
          <w:sz w:val="22"/>
          <w:szCs w:val="22"/>
        </w:rPr>
        <w:t xml:space="preserve">4 </w:t>
      </w:r>
      <w:r w:rsidRPr="00A72D85">
        <w:rPr>
          <w:rFonts w:ascii="Verdana" w:hAnsi="Verdana"/>
          <w:b/>
          <w:iCs/>
          <w:sz w:val="22"/>
          <w:szCs w:val="22"/>
        </w:rPr>
        <w:t>Practitioners and decisions makers</w:t>
      </w:r>
      <w:r w:rsidRPr="00A72D85">
        <w:rPr>
          <w:rFonts w:ascii="Verdana" w:hAnsi="Verdana"/>
          <w:b/>
          <w:sz w:val="22"/>
          <w:szCs w:val="22"/>
        </w:rPr>
        <w:t xml:space="preserve"> </w:t>
      </w:r>
      <w:r w:rsidRPr="00A72D85">
        <w:rPr>
          <w:rFonts w:ascii="Verdana" w:hAnsi="Verdana"/>
          <w:b/>
          <w:iCs/>
          <w:sz w:val="22"/>
          <w:szCs w:val="22"/>
        </w:rPr>
        <w:t xml:space="preserve">of cities, national, regional and EU </w:t>
      </w:r>
      <w:r w:rsidR="001510A9" w:rsidRPr="00A72D85">
        <w:rPr>
          <w:rFonts w:ascii="Verdana" w:hAnsi="Verdana"/>
          <w:b/>
          <w:iCs/>
          <w:sz w:val="22"/>
          <w:szCs w:val="22"/>
        </w:rPr>
        <w:t xml:space="preserve">need to </w:t>
      </w:r>
      <w:r w:rsidRPr="00A72D85">
        <w:rPr>
          <w:rFonts w:ascii="Verdana" w:hAnsi="Verdana"/>
          <w:b/>
          <w:iCs/>
          <w:sz w:val="22"/>
          <w:szCs w:val="22"/>
        </w:rPr>
        <w:t>have access and share relevant knowledge to foster sustainable urban development</w:t>
      </w:r>
    </w:p>
    <w:p w:rsidR="00C17DB5" w:rsidRPr="000E4076" w:rsidRDefault="00C17DB5" w:rsidP="00A30018">
      <w:pPr>
        <w:spacing w:after="120" w:line="276" w:lineRule="auto"/>
        <w:rPr>
          <w:rFonts w:ascii="Verdana" w:hAnsi="Verdana"/>
          <w:sz w:val="22"/>
          <w:szCs w:val="22"/>
        </w:rPr>
      </w:pPr>
    </w:p>
    <w:p w:rsidR="00C17DB5" w:rsidRPr="000E4076" w:rsidRDefault="00C17DB5" w:rsidP="00A30018">
      <w:pPr>
        <w:spacing w:after="120" w:line="276" w:lineRule="auto"/>
        <w:jc w:val="both"/>
        <w:rPr>
          <w:rFonts w:ascii="Verdana" w:hAnsi="Verdana"/>
          <w:color w:val="000000"/>
          <w:sz w:val="22"/>
          <w:szCs w:val="22"/>
        </w:rPr>
      </w:pPr>
      <w:r w:rsidRPr="000E4076">
        <w:rPr>
          <w:rFonts w:ascii="Verdana" w:hAnsi="Verdana"/>
          <w:color w:val="000000"/>
          <w:sz w:val="22"/>
          <w:szCs w:val="22"/>
        </w:rPr>
        <w:t>Cities cannot work alone. They need to develop their strategies together with other cities, with actors such as managing authorities, as well with those at the regional, national and European levels.</w:t>
      </w:r>
    </w:p>
    <w:p w:rsidR="00C17DB5" w:rsidRPr="000E4076" w:rsidRDefault="00C17DB5" w:rsidP="00A30018">
      <w:pPr>
        <w:spacing w:after="120" w:line="276" w:lineRule="auto"/>
        <w:jc w:val="both"/>
        <w:rPr>
          <w:rFonts w:ascii="Verdana" w:hAnsi="Verdana"/>
          <w:sz w:val="22"/>
          <w:szCs w:val="22"/>
        </w:rPr>
      </w:pPr>
      <w:r w:rsidRPr="000E4076">
        <w:rPr>
          <w:rFonts w:ascii="Verdana" w:hAnsi="Verdana"/>
          <w:sz w:val="22"/>
          <w:szCs w:val="22"/>
        </w:rPr>
        <w:t>At programme level, URBACT II has been able to draw on the experience of cities through capitalisation activities to build deeper understanding of issues in urban development</w:t>
      </w:r>
      <w:r w:rsidRPr="000E4076">
        <w:rPr>
          <w:rStyle w:val="a5"/>
          <w:rFonts w:ascii="Verdana" w:eastAsia="SimSun" w:hAnsi="Verdana"/>
          <w:sz w:val="22"/>
          <w:szCs w:val="22"/>
        </w:rPr>
        <w:footnoteReference w:id="25"/>
      </w:r>
      <w:r w:rsidRPr="000E4076">
        <w:rPr>
          <w:rFonts w:ascii="Verdana" w:hAnsi="Verdana"/>
          <w:sz w:val="22"/>
          <w:szCs w:val="22"/>
        </w:rPr>
        <w:t xml:space="preserve">. </w:t>
      </w:r>
    </w:p>
    <w:p w:rsidR="00C17DB5" w:rsidRPr="000E4076" w:rsidRDefault="00C17DB5" w:rsidP="00A30018">
      <w:pPr>
        <w:spacing w:after="120" w:line="276" w:lineRule="auto"/>
        <w:jc w:val="both"/>
        <w:rPr>
          <w:rFonts w:ascii="Verdana" w:hAnsi="Verdana"/>
          <w:color w:val="000000"/>
          <w:sz w:val="22"/>
          <w:szCs w:val="22"/>
        </w:rPr>
      </w:pPr>
      <w:r w:rsidRPr="000E4076">
        <w:rPr>
          <w:rFonts w:ascii="Verdana" w:hAnsi="Verdana"/>
          <w:sz w:val="22"/>
          <w:szCs w:val="22"/>
        </w:rPr>
        <w:t xml:space="preserve">It is crucial that </w:t>
      </w:r>
      <w:r w:rsidRPr="000E4076">
        <w:rPr>
          <w:rFonts w:ascii="Verdana" w:hAnsi="Verdana"/>
          <w:color w:val="000000"/>
          <w:sz w:val="22"/>
          <w:szCs w:val="22"/>
        </w:rPr>
        <w:t>capitalisation and dissemination of knowledge and know-how acquired in URBACT, especially through networking activities but also through an enhanced link with urban research, contribute to a common understanding of integrated urban development at EU, national, regional and local level, beyond cities directly involved in URBACT networks.</w:t>
      </w:r>
    </w:p>
    <w:p w:rsidR="00C17DB5" w:rsidRPr="000E4076" w:rsidRDefault="00C17DB5" w:rsidP="00A30018">
      <w:pPr>
        <w:spacing w:after="120" w:line="276" w:lineRule="auto"/>
        <w:jc w:val="both"/>
        <w:rPr>
          <w:rFonts w:ascii="Verdana" w:hAnsi="Verdana"/>
          <w:b/>
          <w:sz w:val="22"/>
          <w:szCs w:val="22"/>
        </w:rPr>
      </w:pPr>
    </w:p>
    <w:p w:rsidR="00C17DB5" w:rsidRPr="00334700" w:rsidRDefault="00C17DB5" w:rsidP="00334700">
      <w:pPr>
        <w:pStyle w:val="2"/>
        <w:ind w:left="57"/>
      </w:pPr>
      <w:bookmarkStart w:id="8" w:name="_Toc384648434"/>
      <w:r w:rsidRPr="00334700">
        <w:t>1.1.3 Strategy</w:t>
      </w:r>
      <w:bookmarkEnd w:id="8"/>
    </w:p>
    <w:p w:rsidR="00A30018" w:rsidRDefault="00A30018" w:rsidP="00A30018">
      <w:pPr>
        <w:spacing w:after="120" w:line="276" w:lineRule="auto"/>
        <w:jc w:val="both"/>
        <w:textAlignment w:val="top"/>
        <w:rPr>
          <w:rFonts w:ascii="Verdana" w:hAnsi="Verdana"/>
          <w:sz w:val="22"/>
          <w:szCs w:val="22"/>
          <w:lang w:eastAsia="ar-SA"/>
        </w:rPr>
      </w:pPr>
    </w:p>
    <w:p w:rsidR="00C17DB5" w:rsidRPr="000E4076" w:rsidRDefault="00C17DB5" w:rsidP="00A30018">
      <w:pPr>
        <w:spacing w:after="120" w:line="276" w:lineRule="auto"/>
        <w:jc w:val="both"/>
        <w:textAlignment w:val="top"/>
        <w:rPr>
          <w:color w:val="000000"/>
          <w:sz w:val="22"/>
          <w:szCs w:val="22"/>
        </w:rPr>
      </w:pPr>
      <w:r w:rsidRPr="000E4076">
        <w:rPr>
          <w:rFonts w:ascii="Verdana" w:hAnsi="Verdana"/>
          <w:sz w:val="22"/>
          <w:szCs w:val="22"/>
          <w:lang w:eastAsia="ar-SA"/>
        </w:rPr>
        <w:t xml:space="preserve">To </w:t>
      </w:r>
      <w:r w:rsidRPr="000E4076">
        <w:rPr>
          <w:rFonts w:ascii="Verdana" w:hAnsi="Verdana"/>
          <w:color w:val="000000"/>
          <w:sz w:val="22"/>
          <w:szCs w:val="22"/>
        </w:rPr>
        <w:t xml:space="preserve">respond to the manifold challenges they are facing, </w:t>
      </w:r>
      <w:r w:rsidRPr="000E4076">
        <w:rPr>
          <w:rFonts w:ascii="Verdana" w:hAnsi="Verdana"/>
          <w:sz w:val="22"/>
          <w:szCs w:val="22"/>
          <w:lang w:eastAsia="ar-SA"/>
        </w:rPr>
        <w:t xml:space="preserve">city administrations </w:t>
      </w:r>
      <w:r w:rsidRPr="000E4076">
        <w:rPr>
          <w:rFonts w:ascii="Verdana" w:hAnsi="Verdana"/>
          <w:color w:val="000000"/>
          <w:sz w:val="22"/>
          <w:szCs w:val="22"/>
        </w:rPr>
        <w:t>need to continually improve and build knowledge and skills to enable them to develop and implement sustainable integrated policy.</w:t>
      </w:r>
    </w:p>
    <w:p w:rsidR="00C17DB5" w:rsidRPr="000E4076" w:rsidRDefault="00C17DB5" w:rsidP="00A30018">
      <w:pPr>
        <w:spacing w:after="120" w:line="276" w:lineRule="auto"/>
        <w:jc w:val="both"/>
        <w:textAlignment w:val="top"/>
        <w:rPr>
          <w:rFonts w:ascii="Verdana" w:hAnsi="Verdana"/>
          <w:color w:val="000000"/>
          <w:sz w:val="22"/>
          <w:szCs w:val="22"/>
        </w:rPr>
      </w:pPr>
      <w:r w:rsidRPr="000E4076">
        <w:rPr>
          <w:rFonts w:ascii="Verdana" w:hAnsi="Verdana"/>
          <w:color w:val="000000"/>
          <w:sz w:val="22"/>
          <w:szCs w:val="22"/>
        </w:rPr>
        <w:t>This increase of capacity will have positive impacts for the implementation of the operational programmes in the programming period 2014-2020 when the urban dimension of the cohesion policy will be strengthened.</w:t>
      </w:r>
    </w:p>
    <w:p w:rsidR="000565D8" w:rsidRPr="000E4076" w:rsidRDefault="000565D8" w:rsidP="00A30018">
      <w:pPr>
        <w:spacing w:after="120" w:line="276" w:lineRule="auto"/>
        <w:jc w:val="both"/>
        <w:rPr>
          <w:rFonts w:ascii="Verdana" w:hAnsi="Verdana"/>
          <w:color w:val="000000"/>
          <w:sz w:val="22"/>
          <w:szCs w:val="22"/>
        </w:rPr>
      </w:pPr>
    </w:p>
    <w:p w:rsidR="00C17DB5" w:rsidRPr="000E4076" w:rsidRDefault="00C17DB5" w:rsidP="00A30018">
      <w:pPr>
        <w:spacing w:after="120" w:line="276" w:lineRule="auto"/>
        <w:jc w:val="both"/>
        <w:rPr>
          <w:rFonts w:ascii="Verdana" w:hAnsi="Verdana"/>
          <w:color w:val="000000"/>
          <w:sz w:val="22"/>
          <w:szCs w:val="22"/>
        </w:rPr>
      </w:pPr>
      <w:r w:rsidRPr="000E4076">
        <w:rPr>
          <w:rFonts w:ascii="Verdana" w:hAnsi="Verdana"/>
          <w:color w:val="000000"/>
          <w:sz w:val="22"/>
          <w:szCs w:val="22"/>
        </w:rPr>
        <w:t>URBACT III is in a position to use its resources and know-how to strengthen the capacity in cities to deliver integrated urban strategy and actions on the thematic objectives corresponding to their challenges.</w:t>
      </w:r>
    </w:p>
    <w:p w:rsidR="00C17DB5" w:rsidRPr="000E4076" w:rsidRDefault="00C17DB5" w:rsidP="00A30018">
      <w:pPr>
        <w:pStyle w:val="ad"/>
        <w:spacing w:after="120" w:line="276" w:lineRule="auto"/>
        <w:jc w:val="both"/>
        <w:rPr>
          <w:sz w:val="22"/>
          <w:szCs w:val="22"/>
        </w:rPr>
      </w:pPr>
      <w:r w:rsidRPr="000E4076">
        <w:rPr>
          <w:rFonts w:ascii="Verdana" w:hAnsi="Verdana"/>
          <w:color w:val="000000"/>
          <w:sz w:val="22"/>
          <w:szCs w:val="22"/>
        </w:rPr>
        <w:t xml:space="preserve">URBACT does not directly invest in urban development (such as road building or science park construction). Instead the programme enables exchange and learning between elected officials, officers and other city stakeholders; it contributes to the improvement of the quality of planning and implementation of integrated urban plans and programmes in cities, through policy learning on sustainable urban development, through the setting up of Local Support Groups and the Local Action Plans that they produce. URBACT </w:t>
      </w:r>
      <w:r w:rsidR="00123559" w:rsidRPr="000E4076">
        <w:rPr>
          <w:rFonts w:ascii="Verdana" w:hAnsi="Verdana"/>
          <w:color w:val="000000"/>
          <w:sz w:val="22"/>
          <w:szCs w:val="22"/>
        </w:rPr>
        <w:t xml:space="preserve">aims to have </w:t>
      </w:r>
      <w:r w:rsidRPr="000E4076">
        <w:rPr>
          <w:rFonts w:ascii="Verdana" w:hAnsi="Verdana"/>
          <w:color w:val="000000"/>
          <w:sz w:val="22"/>
          <w:szCs w:val="22"/>
        </w:rPr>
        <w:t>an indirect effect on the implementation</w:t>
      </w:r>
      <w:r w:rsidR="00ED1288" w:rsidRPr="000E4076">
        <w:rPr>
          <w:rFonts w:ascii="Verdana" w:hAnsi="Verdana"/>
          <w:color w:val="000000"/>
          <w:sz w:val="22"/>
          <w:szCs w:val="22"/>
        </w:rPr>
        <w:t xml:space="preserve"> in mainstream Operational Programmes.</w:t>
      </w:r>
      <w:r w:rsidRPr="000E4076">
        <w:rPr>
          <w:rFonts w:ascii="Verdana" w:hAnsi="Verdana"/>
          <w:color w:val="000000"/>
          <w:sz w:val="22"/>
          <w:szCs w:val="22"/>
        </w:rPr>
        <w:t xml:space="preserve"> </w:t>
      </w:r>
    </w:p>
    <w:p w:rsidR="00C17DB5" w:rsidRPr="000E4076" w:rsidRDefault="00C17DB5" w:rsidP="00A30018">
      <w:pPr>
        <w:spacing w:after="120" w:line="276" w:lineRule="auto"/>
        <w:jc w:val="both"/>
        <w:rPr>
          <w:rFonts w:ascii="Verdana" w:hAnsi="Verdana"/>
          <w:color w:val="000000"/>
          <w:sz w:val="22"/>
          <w:szCs w:val="22"/>
        </w:rPr>
      </w:pPr>
      <w:r w:rsidRPr="000E4076">
        <w:rPr>
          <w:rFonts w:ascii="Verdana" w:hAnsi="Verdana"/>
          <w:color w:val="000000"/>
          <w:sz w:val="22"/>
          <w:szCs w:val="22"/>
        </w:rPr>
        <w:t>This is the reason why the most appropriate option is to position all the activities of the programme under a specific investment priority dedicated to URBACT III within the thematic objective 11 “enhancing institutional capacity and efficient public administration”.</w:t>
      </w:r>
    </w:p>
    <w:p w:rsidR="00230C42" w:rsidRPr="000E4076" w:rsidRDefault="00C17DB5" w:rsidP="00A30018">
      <w:pPr>
        <w:spacing w:after="120" w:line="276" w:lineRule="auto"/>
        <w:jc w:val="both"/>
        <w:rPr>
          <w:rFonts w:ascii="Verdana" w:hAnsi="Verdana"/>
          <w:color w:val="000000"/>
          <w:sz w:val="22"/>
          <w:szCs w:val="22"/>
        </w:rPr>
      </w:pPr>
      <w:r w:rsidRPr="000E4076">
        <w:rPr>
          <w:rFonts w:ascii="Verdana" w:hAnsi="Verdana"/>
          <w:color w:val="000000"/>
          <w:sz w:val="22"/>
          <w:szCs w:val="22"/>
        </w:rPr>
        <w:t xml:space="preserve">The four specific objectives </w:t>
      </w:r>
      <w:r w:rsidR="00230C42" w:rsidRPr="000E4076">
        <w:rPr>
          <w:rFonts w:ascii="Verdana" w:hAnsi="Verdana"/>
          <w:color w:val="000000"/>
          <w:sz w:val="22"/>
          <w:szCs w:val="22"/>
        </w:rPr>
        <w:t xml:space="preserve">(section 2) </w:t>
      </w:r>
      <w:r w:rsidRPr="000E4076">
        <w:rPr>
          <w:rFonts w:ascii="Verdana" w:hAnsi="Verdana"/>
          <w:color w:val="000000"/>
          <w:sz w:val="22"/>
          <w:szCs w:val="22"/>
        </w:rPr>
        <w:t xml:space="preserve">of the unique investment priority of URBACT are related to </w:t>
      </w:r>
      <w:r w:rsidR="00230C42" w:rsidRPr="000E4076">
        <w:rPr>
          <w:rFonts w:ascii="Verdana" w:hAnsi="Verdana"/>
          <w:color w:val="000000"/>
          <w:sz w:val="22"/>
          <w:szCs w:val="22"/>
        </w:rPr>
        <w:t xml:space="preserve">the four </w:t>
      </w:r>
      <w:r w:rsidRPr="000E4076">
        <w:rPr>
          <w:rFonts w:ascii="Verdana" w:hAnsi="Verdana"/>
          <w:color w:val="000000"/>
          <w:sz w:val="22"/>
          <w:szCs w:val="22"/>
        </w:rPr>
        <w:t>needs</w:t>
      </w:r>
      <w:r w:rsidR="00230C42" w:rsidRPr="000E4076">
        <w:rPr>
          <w:rFonts w:ascii="Verdana" w:hAnsi="Verdana"/>
          <w:color w:val="000000"/>
          <w:sz w:val="22"/>
          <w:szCs w:val="22"/>
        </w:rPr>
        <w:t xml:space="preserve"> (paragraph 1.1.2)</w:t>
      </w:r>
      <w:r w:rsidRPr="000E4076">
        <w:rPr>
          <w:rFonts w:ascii="Verdana" w:hAnsi="Verdana"/>
          <w:color w:val="000000"/>
          <w:sz w:val="22"/>
          <w:szCs w:val="22"/>
        </w:rPr>
        <w:t xml:space="preserve"> where URBACT can provide a European platform for exchange, learning, capitalisation and dissemination</w:t>
      </w:r>
      <w:r w:rsidR="00230C42" w:rsidRPr="000E4076">
        <w:rPr>
          <w:rFonts w:ascii="Verdana" w:hAnsi="Verdana"/>
          <w:color w:val="000000"/>
          <w:sz w:val="22"/>
          <w:szCs w:val="22"/>
        </w:rPr>
        <w:t>:</w:t>
      </w:r>
    </w:p>
    <w:p w:rsidR="00721521" w:rsidRPr="000E4076" w:rsidRDefault="00721521" w:rsidP="00A30018">
      <w:pPr>
        <w:spacing w:after="120" w:line="276" w:lineRule="auto"/>
        <w:jc w:val="both"/>
        <w:rPr>
          <w:rFonts w:ascii="Verdana" w:hAnsi="Verdana"/>
          <w:sz w:val="22"/>
          <w:szCs w:val="22"/>
        </w:rPr>
      </w:pPr>
    </w:p>
    <w:p w:rsidR="00C17DB5" w:rsidRPr="000E4076" w:rsidRDefault="00C17DB5" w:rsidP="00D67ECF">
      <w:pPr>
        <w:pStyle w:val="afd"/>
        <w:numPr>
          <w:ilvl w:val="0"/>
          <w:numId w:val="24"/>
        </w:numPr>
        <w:spacing w:after="120"/>
        <w:ind w:left="924" w:hanging="357"/>
        <w:jc w:val="both"/>
        <w:rPr>
          <w:rFonts w:ascii="Verdana" w:hAnsi="Verdana"/>
        </w:rPr>
      </w:pPr>
      <w:r w:rsidRPr="000E4076">
        <w:rPr>
          <w:rFonts w:ascii="Verdana" w:hAnsi="Verdana"/>
        </w:rPr>
        <w:t>Cities need to improve their capacity to develop and implement integrated urban</w:t>
      </w:r>
      <w:r w:rsidR="007270F8" w:rsidRPr="000E4076">
        <w:rPr>
          <w:rFonts w:ascii="Verdana" w:hAnsi="Verdana"/>
        </w:rPr>
        <w:t xml:space="preserve"> strategies and actions</w:t>
      </w:r>
      <w:r w:rsidRPr="000E4076">
        <w:rPr>
          <w:rFonts w:ascii="Verdana" w:hAnsi="Verdana"/>
        </w:rPr>
        <w:t>.</w:t>
      </w:r>
    </w:p>
    <w:p w:rsidR="00724AF5" w:rsidRPr="000E4076" w:rsidRDefault="00724AF5" w:rsidP="00D67ECF">
      <w:pPr>
        <w:pStyle w:val="Paragraphedeliste3"/>
        <w:numPr>
          <w:ilvl w:val="0"/>
          <w:numId w:val="24"/>
        </w:numPr>
        <w:spacing w:after="120"/>
        <w:ind w:left="924" w:hanging="357"/>
        <w:contextualSpacing w:val="0"/>
        <w:jc w:val="both"/>
        <w:rPr>
          <w:rFonts w:ascii="Verdana" w:hAnsi="Verdana"/>
        </w:rPr>
      </w:pPr>
      <w:r w:rsidRPr="000E4076">
        <w:rPr>
          <w:rFonts w:ascii="Verdana" w:hAnsi="Verdana"/>
        </w:rPr>
        <w:t>Cities need integrated urban strategies and actions for sustainable development.</w:t>
      </w:r>
    </w:p>
    <w:p w:rsidR="00C17DB5" w:rsidRPr="000E4076" w:rsidRDefault="00C17DB5" w:rsidP="00D67ECF">
      <w:pPr>
        <w:pStyle w:val="Paragraphedeliste3"/>
        <w:numPr>
          <w:ilvl w:val="0"/>
          <w:numId w:val="24"/>
        </w:numPr>
        <w:spacing w:after="120"/>
        <w:ind w:left="924" w:hanging="357"/>
        <w:contextualSpacing w:val="0"/>
        <w:jc w:val="both"/>
        <w:rPr>
          <w:rFonts w:ascii="Verdana" w:hAnsi="Verdana"/>
        </w:rPr>
      </w:pPr>
      <w:r w:rsidRPr="000E4076">
        <w:rPr>
          <w:rFonts w:ascii="Verdana" w:hAnsi="Verdana"/>
        </w:rPr>
        <w:t xml:space="preserve">Cities need support for implementation of their integrated urban strategies and actions. </w:t>
      </w:r>
    </w:p>
    <w:p w:rsidR="00C17DB5" w:rsidRPr="000E4076" w:rsidRDefault="00C17DB5" w:rsidP="00D67ECF">
      <w:pPr>
        <w:pStyle w:val="Paragraphedeliste3"/>
        <w:numPr>
          <w:ilvl w:val="0"/>
          <w:numId w:val="24"/>
        </w:numPr>
        <w:spacing w:after="120"/>
        <w:ind w:left="924" w:hanging="357"/>
        <w:contextualSpacing w:val="0"/>
        <w:jc w:val="both"/>
        <w:rPr>
          <w:rFonts w:ascii="Verdana" w:hAnsi="Verdana"/>
        </w:rPr>
      </w:pPr>
      <w:r w:rsidRPr="000E4076">
        <w:rPr>
          <w:rFonts w:ascii="Verdana" w:hAnsi="Verdana"/>
          <w:iCs/>
        </w:rPr>
        <w:t>Practitioners and decisions makers</w:t>
      </w:r>
      <w:r w:rsidRPr="000E4076">
        <w:rPr>
          <w:rFonts w:ascii="Verdana" w:hAnsi="Verdana"/>
        </w:rPr>
        <w:t xml:space="preserve"> </w:t>
      </w:r>
      <w:r w:rsidRPr="000E4076">
        <w:rPr>
          <w:rFonts w:ascii="Verdana" w:hAnsi="Verdana"/>
          <w:iCs/>
        </w:rPr>
        <w:t xml:space="preserve">of cities, national, regional and EU </w:t>
      </w:r>
      <w:r w:rsidR="00360662" w:rsidRPr="000E4076">
        <w:rPr>
          <w:rFonts w:ascii="Verdana" w:hAnsi="Verdana"/>
          <w:iCs/>
        </w:rPr>
        <w:t>need to</w:t>
      </w:r>
      <w:r w:rsidRPr="000E4076">
        <w:rPr>
          <w:rFonts w:ascii="Verdana" w:hAnsi="Verdana"/>
          <w:iCs/>
        </w:rPr>
        <w:t xml:space="preserve"> have access and share relevant knowledge to foster sustainable urban development</w:t>
      </w:r>
    </w:p>
    <w:p w:rsidR="00C17DB5" w:rsidRPr="000E4076" w:rsidRDefault="00C17DB5" w:rsidP="00A30018">
      <w:pPr>
        <w:spacing w:after="120" w:line="276" w:lineRule="auto"/>
        <w:jc w:val="both"/>
        <w:rPr>
          <w:rFonts w:ascii="Verdana" w:hAnsi="Verdana"/>
          <w:sz w:val="22"/>
          <w:szCs w:val="22"/>
        </w:rPr>
      </w:pPr>
      <w:r w:rsidRPr="000E4076">
        <w:rPr>
          <w:rFonts w:ascii="Verdana" w:hAnsi="Verdana"/>
          <w:sz w:val="22"/>
          <w:szCs w:val="22"/>
        </w:rPr>
        <w:t xml:space="preserve">With its four specific objectives URBACT will contribute to answer to the needs of all stakeholders at every stage of the delivery of urban policy and action. This in turn requires targeted and high quality capacity building, the exchange of good practices and a continuous learning culture at city, regional and EU levels.  </w:t>
      </w:r>
    </w:p>
    <w:p w:rsidR="00C17DB5" w:rsidRPr="000E4076" w:rsidRDefault="00C17DB5" w:rsidP="00A30018">
      <w:pPr>
        <w:spacing w:after="120" w:line="276" w:lineRule="auto"/>
        <w:jc w:val="both"/>
        <w:rPr>
          <w:rFonts w:ascii="Verdana" w:hAnsi="Verdana"/>
          <w:sz w:val="22"/>
          <w:szCs w:val="22"/>
        </w:rPr>
      </w:pPr>
      <w:r w:rsidRPr="000E4076">
        <w:rPr>
          <w:rFonts w:ascii="Verdana" w:hAnsi="Verdana"/>
          <w:sz w:val="22"/>
          <w:szCs w:val="22"/>
        </w:rPr>
        <w:t xml:space="preserve">The promotion of good ideas and practices for cities beyond the national limits at European level is essential for the innovation for cities. Indeed cities are part of a very fragmented public sector with high levels of hysteresis and path dependency.  Cities (especially small and medium sized ones) lack the resources to identify and exchange European good practice by themselves this problem is exacerbated in a period of austerity.  URBACT can provide a relatively low cost access to the latest thinking and practice for all cities across Europe and combine this know-how with an action oriented method. </w:t>
      </w:r>
    </w:p>
    <w:p w:rsidR="00276D3A" w:rsidRPr="000E4076" w:rsidRDefault="00276D3A" w:rsidP="00A30018">
      <w:pPr>
        <w:spacing w:after="120" w:line="276" w:lineRule="auto"/>
        <w:jc w:val="both"/>
        <w:rPr>
          <w:rFonts w:ascii="Verdana" w:hAnsi="Verdana"/>
          <w:sz w:val="22"/>
          <w:szCs w:val="22"/>
        </w:rPr>
      </w:pPr>
    </w:p>
    <w:p w:rsidR="00C17DB5" w:rsidRPr="000E4076" w:rsidRDefault="00C17DB5" w:rsidP="00A30018">
      <w:pPr>
        <w:spacing w:after="120" w:line="276" w:lineRule="auto"/>
        <w:jc w:val="both"/>
        <w:rPr>
          <w:rFonts w:ascii="Verdana" w:hAnsi="Verdana"/>
          <w:sz w:val="22"/>
          <w:szCs w:val="22"/>
        </w:rPr>
      </w:pPr>
      <w:r w:rsidRPr="000E4076">
        <w:rPr>
          <w:rFonts w:ascii="Verdana" w:hAnsi="Verdana"/>
          <w:sz w:val="22"/>
          <w:szCs w:val="22"/>
        </w:rPr>
        <w:t xml:space="preserve">Cities which will benefit from ERDF will have many opportunities to work with URBACT when designing and implementing integrated urban strategy and actions plans; indeed they will have the opportunity to participate in its networks, capacity building and capitalisation activities. Therefore bridges will be made between the URBACT mostly small-scale innovatory actions and mainstream structural investments in cities. </w:t>
      </w:r>
    </w:p>
    <w:p w:rsidR="00C17DB5" w:rsidRDefault="00C17DB5" w:rsidP="00A30018">
      <w:pPr>
        <w:spacing w:after="120" w:line="276" w:lineRule="auto"/>
        <w:jc w:val="both"/>
        <w:rPr>
          <w:rFonts w:ascii="Verdana" w:hAnsi="Verdana"/>
          <w:b/>
          <w:sz w:val="22"/>
          <w:szCs w:val="22"/>
        </w:rPr>
      </w:pPr>
    </w:p>
    <w:p w:rsidR="00A72D85" w:rsidRPr="000E4076" w:rsidRDefault="00A72D85" w:rsidP="00A30018">
      <w:pPr>
        <w:spacing w:after="120" w:line="276" w:lineRule="auto"/>
        <w:jc w:val="both"/>
        <w:rPr>
          <w:rFonts w:ascii="Verdana" w:hAnsi="Verdana"/>
          <w:b/>
          <w:sz w:val="22"/>
          <w:szCs w:val="22"/>
        </w:rPr>
      </w:pPr>
    </w:p>
    <w:p w:rsidR="00C17DB5" w:rsidRPr="000E4076" w:rsidRDefault="00C17DB5" w:rsidP="00A30018">
      <w:pPr>
        <w:spacing w:after="120" w:line="276" w:lineRule="auto"/>
        <w:jc w:val="both"/>
        <w:rPr>
          <w:rFonts w:ascii="Verdana" w:hAnsi="Verdana"/>
          <w:b/>
          <w:sz w:val="22"/>
          <w:szCs w:val="22"/>
        </w:rPr>
      </w:pPr>
      <w:r w:rsidRPr="000E4076">
        <w:rPr>
          <w:rFonts w:ascii="Verdana" w:hAnsi="Verdana"/>
          <w:b/>
          <w:sz w:val="22"/>
          <w:szCs w:val="22"/>
        </w:rPr>
        <w:t>Table 1: A synthetic overview of the justification for the selection of thematic objectives and investment priorities:</w:t>
      </w:r>
    </w:p>
    <w:p w:rsidR="00276D3A" w:rsidRPr="004F5F2B" w:rsidRDefault="00276D3A" w:rsidP="00C17DB5">
      <w:pPr>
        <w:jc w:val="both"/>
        <w:rPr>
          <w:rFonts w:ascii="Verdana" w:hAnsi="Verdana"/>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2"/>
        <w:gridCol w:w="3461"/>
        <w:gridCol w:w="4341"/>
      </w:tblGrid>
      <w:tr w:rsidR="00C17DB5" w:rsidRPr="004F5F2B" w:rsidTr="000E4076">
        <w:tc>
          <w:tcPr>
            <w:tcW w:w="0" w:type="auto"/>
            <w:shd w:val="clear" w:color="auto" w:fill="C6D9F1"/>
          </w:tcPr>
          <w:p w:rsidR="00C17DB5" w:rsidRPr="004F5F2B" w:rsidRDefault="00C17DB5" w:rsidP="00C17DB5">
            <w:pPr>
              <w:spacing w:before="120" w:after="120"/>
              <w:jc w:val="both"/>
              <w:rPr>
                <w:rFonts w:ascii="Verdana" w:hAnsi="Verdana"/>
                <w:b/>
                <w:sz w:val="20"/>
                <w:szCs w:val="20"/>
                <w:lang w:eastAsia="fr-BE"/>
              </w:rPr>
            </w:pPr>
            <w:r w:rsidRPr="004F5F2B">
              <w:rPr>
                <w:rFonts w:ascii="Verdana" w:hAnsi="Verdana"/>
                <w:b/>
                <w:sz w:val="20"/>
                <w:szCs w:val="20"/>
                <w:lang w:eastAsia="fr-BE"/>
              </w:rPr>
              <w:t>Selected thematic objective</w:t>
            </w:r>
          </w:p>
        </w:tc>
        <w:tc>
          <w:tcPr>
            <w:tcW w:w="3461" w:type="dxa"/>
            <w:shd w:val="clear" w:color="auto" w:fill="C6D9F1"/>
          </w:tcPr>
          <w:p w:rsidR="00C17DB5" w:rsidRPr="004F5F2B" w:rsidRDefault="00C17DB5" w:rsidP="00C17DB5">
            <w:pPr>
              <w:spacing w:before="120" w:after="120"/>
              <w:jc w:val="both"/>
              <w:rPr>
                <w:rFonts w:ascii="Verdana" w:hAnsi="Verdana"/>
                <w:b/>
                <w:sz w:val="20"/>
                <w:szCs w:val="20"/>
                <w:lang w:eastAsia="fr-BE"/>
              </w:rPr>
            </w:pPr>
            <w:r w:rsidRPr="004F5F2B">
              <w:rPr>
                <w:rFonts w:ascii="Verdana" w:hAnsi="Verdana"/>
                <w:b/>
                <w:sz w:val="20"/>
                <w:szCs w:val="20"/>
                <w:lang w:eastAsia="fr-BE"/>
              </w:rPr>
              <w:t>Selected investment priority</w:t>
            </w:r>
          </w:p>
        </w:tc>
        <w:tc>
          <w:tcPr>
            <w:tcW w:w="4341" w:type="dxa"/>
            <w:shd w:val="clear" w:color="auto" w:fill="C6D9F1"/>
          </w:tcPr>
          <w:p w:rsidR="00C17DB5" w:rsidRPr="004F5F2B" w:rsidRDefault="00C17DB5" w:rsidP="00C17DB5">
            <w:pPr>
              <w:spacing w:before="120" w:after="120"/>
              <w:jc w:val="both"/>
              <w:rPr>
                <w:rFonts w:ascii="Verdana" w:hAnsi="Verdana"/>
                <w:b/>
                <w:sz w:val="20"/>
                <w:szCs w:val="20"/>
                <w:lang w:eastAsia="fr-BE"/>
              </w:rPr>
            </w:pPr>
            <w:r w:rsidRPr="004F5F2B">
              <w:rPr>
                <w:rFonts w:ascii="Verdana" w:hAnsi="Verdana"/>
                <w:b/>
                <w:sz w:val="20"/>
                <w:szCs w:val="20"/>
                <w:lang w:eastAsia="fr-BE"/>
              </w:rPr>
              <w:t>Justification for selection</w:t>
            </w:r>
          </w:p>
          <w:p w:rsidR="00C17DB5" w:rsidRPr="004F5F2B" w:rsidRDefault="00C17DB5" w:rsidP="00C17DB5">
            <w:pPr>
              <w:pStyle w:val="Text1"/>
              <w:spacing w:before="120" w:after="120"/>
              <w:ind w:left="0"/>
              <w:rPr>
                <w:rFonts w:ascii="Verdana" w:hAnsi="Verdana"/>
                <w:sz w:val="20"/>
                <w:lang w:eastAsia="en-US"/>
              </w:rPr>
            </w:pPr>
          </w:p>
        </w:tc>
      </w:tr>
      <w:tr w:rsidR="00C17DB5" w:rsidRPr="004F5F2B" w:rsidTr="000E4076">
        <w:tc>
          <w:tcPr>
            <w:tcW w:w="0" w:type="auto"/>
          </w:tcPr>
          <w:p w:rsidR="00C17DB5" w:rsidRPr="004F5F2B" w:rsidRDefault="00C17DB5" w:rsidP="00C17DB5">
            <w:pPr>
              <w:jc w:val="both"/>
              <w:rPr>
                <w:rFonts w:ascii="Verdana" w:hAnsi="Verdana"/>
                <w:sz w:val="20"/>
                <w:szCs w:val="20"/>
                <w:lang w:eastAsia="fr-BE"/>
              </w:rPr>
            </w:pPr>
          </w:p>
          <w:p w:rsidR="00C17DB5" w:rsidRPr="004F5F2B" w:rsidRDefault="00C17DB5" w:rsidP="00C17DB5">
            <w:pPr>
              <w:jc w:val="both"/>
              <w:rPr>
                <w:rFonts w:ascii="Verdana" w:hAnsi="Verdana"/>
                <w:sz w:val="20"/>
                <w:szCs w:val="20"/>
                <w:lang w:eastAsia="fr-BE"/>
              </w:rPr>
            </w:pPr>
            <w:r w:rsidRPr="004F5F2B">
              <w:rPr>
                <w:rFonts w:ascii="Verdana" w:hAnsi="Verdana"/>
                <w:sz w:val="20"/>
                <w:szCs w:val="20"/>
                <w:lang w:eastAsia="fr-BE"/>
              </w:rPr>
              <w:t>Thematic Objective 11:</w:t>
            </w:r>
          </w:p>
          <w:p w:rsidR="00C17DB5" w:rsidRPr="004F5F2B" w:rsidRDefault="00C17DB5" w:rsidP="00C17DB5">
            <w:pPr>
              <w:jc w:val="both"/>
              <w:rPr>
                <w:rFonts w:ascii="Verdana" w:hAnsi="Verdana"/>
                <w:sz w:val="20"/>
                <w:szCs w:val="20"/>
                <w:lang w:eastAsia="fr-BE"/>
              </w:rPr>
            </w:pPr>
            <w:r w:rsidRPr="004F5F2B">
              <w:rPr>
                <w:rFonts w:ascii="Verdana" w:hAnsi="Verdana"/>
                <w:color w:val="000000"/>
                <w:sz w:val="20"/>
                <w:szCs w:val="20"/>
              </w:rPr>
              <w:t>Enhancing institutional capacity and efficient public administration</w:t>
            </w:r>
          </w:p>
          <w:p w:rsidR="00C17DB5" w:rsidRPr="004F5F2B" w:rsidRDefault="00C17DB5" w:rsidP="00C17DB5">
            <w:pPr>
              <w:jc w:val="both"/>
              <w:rPr>
                <w:rFonts w:ascii="Verdana" w:hAnsi="Verdana"/>
                <w:sz w:val="20"/>
                <w:szCs w:val="20"/>
                <w:lang w:eastAsia="fr-BE"/>
              </w:rPr>
            </w:pPr>
          </w:p>
        </w:tc>
        <w:tc>
          <w:tcPr>
            <w:tcW w:w="3461" w:type="dxa"/>
          </w:tcPr>
          <w:p w:rsidR="00C17DB5" w:rsidRPr="004F5F2B" w:rsidRDefault="00C17DB5" w:rsidP="00C17DB5">
            <w:pPr>
              <w:jc w:val="both"/>
              <w:rPr>
                <w:rFonts w:ascii="Verdana" w:hAnsi="Verdana"/>
                <w:sz w:val="20"/>
                <w:szCs w:val="20"/>
                <w:lang w:eastAsia="fr-BE"/>
              </w:rPr>
            </w:pPr>
          </w:p>
          <w:p w:rsidR="00C17DB5" w:rsidRPr="004F5F2B" w:rsidRDefault="00C17DB5" w:rsidP="00C17DB5">
            <w:pPr>
              <w:jc w:val="both"/>
              <w:rPr>
                <w:rFonts w:ascii="Verdana" w:hAnsi="Verdana"/>
                <w:sz w:val="20"/>
                <w:szCs w:val="20"/>
                <w:lang w:eastAsia="fr-BE"/>
              </w:rPr>
            </w:pPr>
            <w:r w:rsidRPr="004F5F2B">
              <w:rPr>
                <w:rFonts w:ascii="Verdana" w:hAnsi="Verdana"/>
                <w:iCs/>
                <w:sz w:val="20"/>
                <w:szCs w:val="20"/>
                <w:lang w:eastAsia="fr-BE"/>
              </w:rPr>
              <w:t>Disseminating good practice and expertise and capitalising on results of the exchange of experience on sustainable urban development, including urban-rural linkages</w:t>
            </w:r>
          </w:p>
          <w:p w:rsidR="00C17DB5" w:rsidRPr="004F5F2B" w:rsidRDefault="00C17DB5" w:rsidP="00C17DB5">
            <w:pPr>
              <w:jc w:val="both"/>
              <w:rPr>
                <w:rFonts w:ascii="Verdana" w:hAnsi="Verdana"/>
                <w:sz w:val="20"/>
                <w:szCs w:val="20"/>
                <w:lang w:eastAsia="fr-BE"/>
              </w:rPr>
            </w:pPr>
          </w:p>
        </w:tc>
        <w:tc>
          <w:tcPr>
            <w:tcW w:w="4341" w:type="dxa"/>
          </w:tcPr>
          <w:p w:rsidR="00C17DB5" w:rsidRPr="004F5F2B" w:rsidRDefault="00C17DB5" w:rsidP="00C17DB5">
            <w:pPr>
              <w:jc w:val="both"/>
              <w:rPr>
                <w:rFonts w:ascii="Verdana" w:hAnsi="Verdana"/>
                <w:iCs/>
                <w:sz w:val="20"/>
                <w:szCs w:val="20"/>
                <w:lang w:eastAsia="fr-BE"/>
              </w:rPr>
            </w:pPr>
            <w:r w:rsidRPr="004F5F2B">
              <w:rPr>
                <w:rFonts w:ascii="Verdana" w:hAnsi="Verdana"/>
                <w:iCs/>
                <w:sz w:val="20"/>
                <w:szCs w:val="20"/>
                <w:lang w:eastAsia="fr-BE"/>
              </w:rPr>
              <w:t xml:space="preserve">URBACT is primarily a capacity building programme through exchange of experience for cities which have to address the following needs: </w:t>
            </w:r>
          </w:p>
          <w:p w:rsidR="00C17DB5" w:rsidRPr="004F5F2B" w:rsidRDefault="00C17DB5" w:rsidP="00C17DB5">
            <w:pPr>
              <w:jc w:val="both"/>
              <w:rPr>
                <w:rFonts w:ascii="Verdana" w:hAnsi="Verdana"/>
                <w:sz w:val="20"/>
                <w:szCs w:val="20"/>
                <w:lang w:eastAsia="fr-BE"/>
              </w:rPr>
            </w:pPr>
            <w:r w:rsidRPr="004F5F2B">
              <w:rPr>
                <w:rFonts w:ascii="Verdana" w:hAnsi="Verdana"/>
                <w:sz w:val="20"/>
                <w:szCs w:val="20"/>
                <w:lang w:eastAsia="fr-BE"/>
              </w:rPr>
              <w:t xml:space="preserve">1) Cities need to improve their capacity to develop and implement integrated urban </w:t>
            </w:r>
            <w:r w:rsidR="00724AF5" w:rsidRPr="004F5F2B">
              <w:rPr>
                <w:rFonts w:ascii="Verdana" w:hAnsi="Verdana"/>
                <w:sz w:val="20"/>
                <w:szCs w:val="20"/>
                <w:lang w:eastAsia="fr-BE"/>
              </w:rPr>
              <w:t>strategies and actions</w:t>
            </w:r>
            <w:r w:rsidRPr="004F5F2B">
              <w:rPr>
                <w:rFonts w:ascii="Verdana" w:hAnsi="Verdana"/>
                <w:sz w:val="20"/>
                <w:szCs w:val="20"/>
                <w:lang w:eastAsia="fr-BE"/>
              </w:rPr>
              <w:t xml:space="preserve">. </w:t>
            </w:r>
          </w:p>
          <w:p w:rsidR="00C17DB5" w:rsidRPr="004F5F2B" w:rsidRDefault="00C17DB5" w:rsidP="00C17DB5">
            <w:pPr>
              <w:jc w:val="both"/>
              <w:rPr>
                <w:rFonts w:ascii="Verdana" w:hAnsi="Verdana"/>
                <w:sz w:val="20"/>
                <w:szCs w:val="20"/>
                <w:lang w:eastAsia="fr-BE"/>
              </w:rPr>
            </w:pPr>
            <w:r w:rsidRPr="004F5F2B">
              <w:rPr>
                <w:rFonts w:ascii="Verdana" w:hAnsi="Verdana"/>
                <w:sz w:val="20"/>
                <w:szCs w:val="20"/>
                <w:lang w:eastAsia="fr-BE"/>
              </w:rPr>
              <w:t>2) Cities need integrated urban strategies and action</w:t>
            </w:r>
            <w:r w:rsidR="00895F00" w:rsidRPr="004F5F2B">
              <w:rPr>
                <w:rFonts w:ascii="Verdana" w:hAnsi="Verdana"/>
                <w:sz w:val="20"/>
                <w:szCs w:val="20"/>
                <w:lang w:eastAsia="fr-BE"/>
              </w:rPr>
              <w:t xml:space="preserve">s </w:t>
            </w:r>
            <w:r w:rsidRPr="004F5F2B">
              <w:rPr>
                <w:rFonts w:ascii="Verdana" w:hAnsi="Verdana"/>
                <w:sz w:val="20"/>
                <w:szCs w:val="20"/>
                <w:lang w:eastAsia="fr-BE"/>
              </w:rPr>
              <w:t>for sustainable development</w:t>
            </w:r>
            <w:r w:rsidRPr="004F5F2B" w:rsidDel="007410D6">
              <w:rPr>
                <w:rFonts w:ascii="Verdana" w:hAnsi="Verdana"/>
                <w:sz w:val="20"/>
                <w:szCs w:val="20"/>
                <w:lang w:eastAsia="fr-BE"/>
              </w:rPr>
              <w:t xml:space="preserve"> </w:t>
            </w:r>
          </w:p>
          <w:p w:rsidR="00C17DB5" w:rsidRPr="004F5F2B" w:rsidRDefault="00C17DB5" w:rsidP="00C17DB5">
            <w:pPr>
              <w:jc w:val="both"/>
              <w:rPr>
                <w:rFonts w:ascii="Verdana" w:hAnsi="Verdana"/>
                <w:sz w:val="20"/>
                <w:szCs w:val="20"/>
                <w:lang w:eastAsia="fr-BE"/>
              </w:rPr>
            </w:pPr>
            <w:r w:rsidRPr="004F5F2B">
              <w:rPr>
                <w:rFonts w:ascii="Verdana" w:hAnsi="Verdana"/>
                <w:sz w:val="20"/>
                <w:szCs w:val="20"/>
                <w:lang w:eastAsia="fr-BE"/>
              </w:rPr>
              <w:t xml:space="preserve">3) Cities need support for implementation of their integrated urban strategies and actions. </w:t>
            </w:r>
          </w:p>
          <w:p w:rsidR="00C17DB5" w:rsidRPr="004F5F2B" w:rsidRDefault="00C17DB5" w:rsidP="00C17DB5">
            <w:pPr>
              <w:jc w:val="both"/>
              <w:rPr>
                <w:rFonts w:ascii="Verdana" w:hAnsi="Verdana"/>
                <w:sz w:val="20"/>
                <w:szCs w:val="20"/>
              </w:rPr>
            </w:pPr>
            <w:r w:rsidRPr="004F5F2B">
              <w:rPr>
                <w:rFonts w:ascii="Verdana" w:hAnsi="Verdana"/>
                <w:sz w:val="20"/>
                <w:szCs w:val="20"/>
                <w:lang w:eastAsia="fr-BE"/>
              </w:rPr>
              <w:t xml:space="preserve">4) </w:t>
            </w:r>
            <w:r w:rsidRPr="004F5F2B">
              <w:rPr>
                <w:rFonts w:ascii="Verdana" w:hAnsi="Verdana"/>
                <w:iCs/>
                <w:sz w:val="20"/>
                <w:szCs w:val="20"/>
                <w:lang w:eastAsia="fr-BE"/>
              </w:rPr>
              <w:t>Practitioners and decisions makers</w:t>
            </w:r>
            <w:r w:rsidRPr="004F5F2B">
              <w:rPr>
                <w:rFonts w:ascii="Verdana" w:hAnsi="Verdana"/>
                <w:sz w:val="20"/>
                <w:szCs w:val="20"/>
                <w:lang w:eastAsia="fr-BE"/>
              </w:rPr>
              <w:t xml:space="preserve"> </w:t>
            </w:r>
            <w:r w:rsidRPr="004F5F2B">
              <w:rPr>
                <w:rFonts w:ascii="Verdana" w:hAnsi="Verdana"/>
                <w:iCs/>
                <w:sz w:val="20"/>
                <w:szCs w:val="20"/>
                <w:lang w:eastAsia="fr-BE"/>
              </w:rPr>
              <w:t xml:space="preserve">of cities, national, regional and EU </w:t>
            </w:r>
            <w:r w:rsidR="004B01BB">
              <w:rPr>
                <w:rFonts w:ascii="Verdana" w:hAnsi="Verdana"/>
                <w:iCs/>
                <w:sz w:val="20"/>
                <w:szCs w:val="20"/>
                <w:lang w:eastAsia="fr-BE"/>
              </w:rPr>
              <w:t xml:space="preserve">need to </w:t>
            </w:r>
            <w:r w:rsidRPr="004F5F2B">
              <w:rPr>
                <w:rFonts w:ascii="Verdana" w:hAnsi="Verdana"/>
                <w:iCs/>
                <w:sz w:val="20"/>
                <w:szCs w:val="20"/>
                <w:lang w:eastAsia="fr-BE"/>
              </w:rPr>
              <w:t>have access and share relevant knowledge to foster sustainable urban development</w:t>
            </w:r>
          </w:p>
        </w:tc>
      </w:tr>
    </w:tbl>
    <w:p w:rsidR="00C17DB5" w:rsidRPr="004F5F2B" w:rsidRDefault="00C17DB5" w:rsidP="00C17DB5">
      <w:pPr>
        <w:jc w:val="both"/>
        <w:rPr>
          <w:rFonts w:ascii="Verdana" w:hAnsi="Verdana"/>
          <w:sz w:val="20"/>
          <w:szCs w:val="20"/>
        </w:rPr>
      </w:pPr>
    </w:p>
    <w:p w:rsidR="00A30018" w:rsidRPr="00334700" w:rsidRDefault="00A30018" w:rsidP="00334700"/>
    <w:p w:rsidR="00C17DB5" w:rsidRPr="004F5F2B" w:rsidRDefault="00C17DB5" w:rsidP="00A532C7">
      <w:pPr>
        <w:pStyle w:val="2"/>
      </w:pPr>
      <w:bookmarkStart w:id="9" w:name="_Toc384648435"/>
      <w:r w:rsidRPr="004F5F2B">
        <w:t>1.2</w:t>
      </w:r>
      <w:r w:rsidRPr="004F5F2B">
        <w:tab/>
        <w:t>Justification of the financial allocation</w:t>
      </w:r>
      <w:bookmarkEnd w:id="9"/>
      <w:r w:rsidRPr="004F5F2B">
        <w:t> </w:t>
      </w:r>
    </w:p>
    <w:p w:rsidR="00C17DB5" w:rsidRPr="000E4076" w:rsidRDefault="00C17DB5" w:rsidP="00C17DB5">
      <w:pPr>
        <w:jc w:val="both"/>
        <w:rPr>
          <w:rFonts w:ascii="Verdana" w:hAnsi="Verdana"/>
          <w:i/>
          <w:color w:val="000000"/>
          <w:sz w:val="22"/>
          <w:szCs w:val="22"/>
        </w:rPr>
      </w:pPr>
      <w:r w:rsidRPr="000E4076">
        <w:rPr>
          <w:rFonts w:ascii="Verdana" w:hAnsi="Verdana"/>
          <w:iCs/>
          <w:sz w:val="22"/>
          <w:szCs w:val="22"/>
          <w:lang w:eastAsia="fr-BE"/>
        </w:rPr>
        <w:t>In the new programming period 2014-2020 URBACT III will operate under a s</w:t>
      </w:r>
      <w:r w:rsidRPr="000E4076">
        <w:rPr>
          <w:rFonts w:ascii="Verdana" w:hAnsi="Verdana"/>
          <w:color w:val="000000"/>
          <w:sz w:val="22"/>
          <w:szCs w:val="22"/>
        </w:rPr>
        <w:t>pecific investment priority within the thematic objective 11: “enhancing institutional capacity and efficient public administration”.</w:t>
      </w:r>
    </w:p>
    <w:p w:rsidR="00C17DB5" w:rsidRPr="000E4076" w:rsidRDefault="00C17DB5" w:rsidP="00C17DB5">
      <w:pPr>
        <w:pStyle w:val="ListBullet1"/>
        <w:tabs>
          <w:tab w:val="clear" w:pos="360"/>
          <w:tab w:val="left" w:pos="708"/>
        </w:tabs>
        <w:spacing w:after="0"/>
        <w:ind w:left="0"/>
        <w:rPr>
          <w:rFonts w:ascii="Verdana" w:hAnsi="Verdana"/>
          <w:iCs/>
          <w:sz w:val="22"/>
          <w:szCs w:val="22"/>
          <w:lang w:val="en-GB" w:eastAsia="fr-BE"/>
        </w:rPr>
      </w:pPr>
      <w:r w:rsidRPr="000E4076">
        <w:rPr>
          <w:rFonts w:ascii="Verdana" w:hAnsi="Verdana"/>
          <w:iCs/>
          <w:sz w:val="22"/>
          <w:szCs w:val="22"/>
          <w:lang w:val="en-GB" w:eastAsia="fr-BE"/>
        </w:rPr>
        <w:t>According to EC Regulation support from ERDF to the ETC goal Article 5 (c) “all thematic objectives may be selected for interregional cooperation programmes”.  The proposed structure with one thematic objective is justified for the following reasons:</w:t>
      </w:r>
    </w:p>
    <w:p w:rsidR="00C17DB5" w:rsidRPr="000E4076" w:rsidRDefault="00C17DB5" w:rsidP="00C17DB5">
      <w:pPr>
        <w:pStyle w:val="ListBullet1"/>
        <w:tabs>
          <w:tab w:val="clear" w:pos="360"/>
          <w:tab w:val="left" w:pos="708"/>
        </w:tabs>
        <w:spacing w:after="0"/>
        <w:ind w:left="0"/>
        <w:rPr>
          <w:rFonts w:ascii="Verdana" w:hAnsi="Verdana"/>
          <w:iCs/>
          <w:sz w:val="22"/>
          <w:szCs w:val="22"/>
          <w:lang w:val="en-GB" w:eastAsia="fr-BE"/>
        </w:rPr>
      </w:pPr>
    </w:p>
    <w:p w:rsidR="00C17DB5" w:rsidRPr="000E4076" w:rsidRDefault="00C17DB5" w:rsidP="00D67ECF">
      <w:pPr>
        <w:pStyle w:val="ListBullet1"/>
        <w:numPr>
          <w:ilvl w:val="0"/>
          <w:numId w:val="25"/>
        </w:numPr>
        <w:spacing w:after="120" w:line="276" w:lineRule="auto"/>
        <w:ind w:left="924" w:hanging="357"/>
        <w:rPr>
          <w:rFonts w:ascii="Verdana" w:hAnsi="Verdana"/>
          <w:iCs/>
          <w:sz w:val="22"/>
          <w:szCs w:val="22"/>
          <w:lang w:val="en-GB" w:eastAsia="fr-BE"/>
        </w:rPr>
      </w:pPr>
      <w:r w:rsidRPr="000E4076">
        <w:rPr>
          <w:rFonts w:ascii="Verdana" w:hAnsi="Verdana"/>
          <w:iCs/>
          <w:sz w:val="22"/>
          <w:szCs w:val="22"/>
          <w:lang w:val="en-GB" w:eastAsia="fr-BE"/>
        </w:rPr>
        <w:t>URBACT is primarily a capacity building programme through exchange of experience</w:t>
      </w:r>
    </w:p>
    <w:p w:rsidR="00C17DB5" w:rsidRPr="000E4076" w:rsidRDefault="00C17DB5" w:rsidP="00D67ECF">
      <w:pPr>
        <w:pStyle w:val="ListBullet1"/>
        <w:numPr>
          <w:ilvl w:val="0"/>
          <w:numId w:val="25"/>
        </w:numPr>
        <w:spacing w:after="120" w:line="276" w:lineRule="auto"/>
        <w:ind w:left="924" w:hanging="357"/>
        <w:rPr>
          <w:rFonts w:ascii="Verdana" w:hAnsi="Verdana"/>
          <w:iCs/>
          <w:sz w:val="22"/>
          <w:szCs w:val="22"/>
          <w:lang w:val="en-GB" w:eastAsia="fr-BE"/>
        </w:rPr>
      </w:pPr>
      <w:r w:rsidRPr="000E4076">
        <w:rPr>
          <w:rFonts w:ascii="Verdana" w:hAnsi="Verdana"/>
          <w:iCs/>
          <w:sz w:val="22"/>
          <w:szCs w:val="22"/>
          <w:lang w:val="en-GB" w:eastAsia="fr-BE"/>
        </w:rPr>
        <w:t>To respond to the great variety of challenges of cities in Europe (par.  1.1.2)</w:t>
      </w:r>
    </w:p>
    <w:p w:rsidR="00C17DB5" w:rsidRPr="000E4076" w:rsidRDefault="00C17DB5" w:rsidP="00D67ECF">
      <w:pPr>
        <w:pStyle w:val="ListBullet1"/>
        <w:numPr>
          <w:ilvl w:val="0"/>
          <w:numId w:val="25"/>
        </w:numPr>
        <w:spacing w:after="120" w:line="276" w:lineRule="auto"/>
        <w:ind w:left="924" w:hanging="357"/>
        <w:rPr>
          <w:rFonts w:ascii="Verdana" w:hAnsi="Verdana"/>
          <w:iCs/>
          <w:sz w:val="22"/>
          <w:szCs w:val="22"/>
          <w:lang w:val="en-GB" w:eastAsia="fr-BE"/>
        </w:rPr>
      </w:pPr>
      <w:r w:rsidRPr="000E4076">
        <w:rPr>
          <w:rFonts w:ascii="Verdana" w:hAnsi="Verdana"/>
          <w:iCs/>
          <w:sz w:val="22"/>
          <w:szCs w:val="22"/>
          <w:lang w:val="en-GB" w:eastAsia="fr-BE"/>
        </w:rPr>
        <w:t>To ensure that the core element of the URBACT programme, to address urban challenges in an integrated and sustainable way, is maintained</w:t>
      </w:r>
    </w:p>
    <w:p w:rsidR="00C17DB5" w:rsidRPr="000E4076" w:rsidRDefault="00C17DB5" w:rsidP="00D67ECF">
      <w:pPr>
        <w:pStyle w:val="ListBullet1"/>
        <w:numPr>
          <w:ilvl w:val="0"/>
          <w:numId w:val="25"/>
        </w:numPr>
        <w:spacing w:after="120" w:line="276" w:lineRule="auto"/>
        <w:ind w:left="924" w:hanging="357"/>
        <w:rPr>
          <w:rFonts w:ascii="Verdana" w:hAnsi="Verdana"/>
          <w:iCs/>
          <w:sz w:val="22"/>
          <w:szCs w:val="22"/>
          <w:lang w:val="en-GB" w:eastAsia="fr-BE"/>
        </w:rPr>
      </w:pPr>
      <w:r w:rsidRPr="000E4076">
        <w:rPr>
          <w:rFonts w:ascii="Verdana" w:hAnsi="Verdana"/>
          <w:iCs/>
          <w:sz w:val="22"/>
          <w:szCs w:val="22"/>
          <w:lang w:val="en-GB" w:eastAsia="fr-BE"/>
        </w:rPr>
        <w:t>To address the demands of the European Commission to reduce the administrative burden for beneficiaries</w:t>
      </w:r>
    </w:p>
    <w:p w:rsidR="00AE6ED6" w:rsidRPr="000E4076" w:rsidRDefault="00AE6ED6" w:rsidP="00C17DB5">
      <w:pPr>
        <w:pStyle w:val="4"/>
        <w:rPr>
          <w:sz w:val="22"/>
          <w:szCs w:val="22"/>
        </w:rPr>
      </w:pPr>
    </w:p>
    <w:p w:rsidR="00C17DB5" w:rsidRPr="000E4076" w:rsidRDefault="00C17DB5" w:rsidP="00312A5F">
      <w:pPr>
        <w:pStyle w:val="4"/>
        <w:spacing w:after="120"/>
        <w:rPr>
          <w:sz w:val="22"/>
          <w:szCs w:val="22"/>
        </w:rPr>
      </w:pPr>
      <w:r w:rsidRPr="000E4076">
        <w:rPr>
          <w:sz w:val="22"/>
          <w:szCs w:val="22"/>
        </w:rPr>
        <w:t>Focusing on thematic priorities in a flexible way</w:t>
      </w:r>
    </w:p>
    <w:p w:rsidR="00C17DB5" w:rsidRPr="000E4076" w:rsidRDefault="00C17DB5" w:rsidP="00312A5F">
      <w:pPr>
        <w:spacing w:after="120" w:line="276" w:lineRule="auto"/>
        <w:jc w:val="both"/>
        <w:rPr>
          <w:rFonts w:ascii="Verdana" w:hAnsi="Verdana"/>
          <w:sz w:val="22"/>
          <w:szCs w:val="22"/>
        </w:rPr>
      </w:pPr>
      <w:r w:rsidRPr="000E4076">
        <w:rPr>
          <w:rFonts w:ascii="Verdana" w:hAnsi="Verdana"/>
          <w:sz w:val="22"/>
          <w:szCs w:val="22"/>
        </w:rPr>
        <w:t>The most important urban issues vary considerably depending on the cities. For example for cities from the EU1</w:t>
      </w:r>
      <w:r w:rsidR="00136AC6" w:rsidRPr="000E4076">
        <w:rPr>
          <w:rFonts w:ascii="Verdana" w:hAnsi="Verdana"/>
          <w:sz w:val="22"/>
          <w:szCs w:val="22"/>
        </w:rPr>
        <w:t>3</w:t>
      </w:r>
      <w:r w:rsidRPr="000E4076">
        <w:rPr>
          <w:rFonts w:ascii="Verdana" w:hAnsi="Verdana"/>
          <w:sz w:val="22"/>
          <w:szCs w:val="22"/>
        </w:rPr>
        <w:t>, measures for physical improvement, for transportation infrastructure, for urban renewal, for the reuse of derelict land, for the improvement of the housing stock, etc., are major issues while some of them are less problematic in cities of the EU15.</w:t>
      </w:r>
    </w:p>
    <w:p w:rsidR="00C17DB5" w:rsidRPr="000E4076" w:rsidRDefault="00C17DB5" w:rsidP="00312A5F">
      <w:pPr>
        <w:tabs>
          <w:tab w:val="left" w:pos="6480"/>
        </w:tabs>
        <w:spacing w:after="120" w:line="276" w:lineRule="auto"/>
        <w:jc w:val="both"/>
        <w:rPr>
          <w:rFonts w:ascii="Verdana" w:hAnsi="Verdana"/>
          <w:sz w:val="22"/>
          <w:szCs w:val="22"/>
        </w:rPr>
      </w:pPr>
      <w:r w:rsidRPr="000E4076">
        <w:rPr>
          <w:rFonts w:ascii="Verdana" w:hAnsi="Verdana"/>
          <w:color w:val="000000"/>
          <w:sz w:val="22"/>
          <w:szCs w:val="22"/>
        </w:rPr>
        <w:t xml:space="preserve">Meanwhile the necessity to answer to the various needs of cities with a wide coverage of thematic objectives and investment priorities must be balanced with the necessity to concentrate programme resources to </w:t>
      </w:r>
      <w:r w:rsidRPr="000E4076">
        <w:rPr>
          <w:rFonts w:ascii="Verdana" w:hAnsi="Verdana"/>
          <w:sz w:val="22"/>
          <w:szCs w:val="22"/>
        </w:rPr>
        <w:t>achieve Europe 2020 goals on the most relevant thematic objectives for the cities in Europe.</w:t>
      </w:r>
    </w:p>
    <w:p w:rsidR="00C17DB5" w:rsidRPr="000E4076" w:rsidRDefault="00AE6ED6" w:rsidP="00312A5F">
      <w:pPr>
        <w:spacing w:after="120" w:line="276" w:lineRule="auto"/>
        <w:jc w:val="both"/>
        <w:rPr>
          <w:rFonts w:ascii="Verdana" w:hAnsi="Verdana"/>
          <w:color w:val="000000"/>
          <w:sz w:val="22"/>
          <w:szCs w:val="22"/>
        </w:rPr>
      </w:pPr>
      <w:r w:rsidRPr="000E4076">
        <w:rPr>
          <w:rFonts w:ascii="Verdana" w:hAnsi="Verdana"/>
          <w:color w:val="000000"/>
          <w:sz w:val="22"/>
          <w:szCs w:val="22"/>
        </w:rPr>
        <w:t>T</w:t>
      </w:r>
      <w:r w:rsidR="00C17DB5" w:rsidRPr="000E4076">
        <w:rPr>
          <w:rFonts w:ascii="Verdana" w:hAnsi="Verdana"/>
          <w:color w:val="000000"/>
          <w:sz w:val="22"/>
          <w:szCs w:val="22"/>
        </w:rPr>
        <w:t>herefore</w:t>
      </w:r>
      <w:r w:rsidRPr="000E4076">
        <w:rPr>
          <w:rFonts w:ascii="Verdana" w:hAnsi="Verdana"/>
          <w:color w:val="000000"/>
          <w:sz w:val="22"/>
          <w:szCs w:val="22"/>
        </w:rPr>
        <w:t xml:space="preserve"> URBACT III will be programmed under “enhancing institutional capacity and efficient public administration” (TO11) but with a focus on issues related the five following thematic objectives on which </w:t>
      </w:r>
      <w:r w:rsidR="00C17DB5" w:rsidRPr="000E4076">
        <w:rPr>
          <w:rFonts w:ascii="Verdana" w:hAnsi="Verdana"/>
          <w:color w:val="000000"/>
          <w:sz w:val="22"/>
          <w:szCs w:val="22"/>
        </w:rPr>
        <w:t xml:space="preserve">the greatest part (70%) of the resources of the programme </w:t>
      </w:r>
      <w:r w:rsidRPr="000E4076">
        <w:rPr>
          <w:rFonts w:ascii="Verdana" w:hAnsi="Verdana"/>
          <w:color w:val="000000"/>
          <w:sz w:val="22"/>
          <w:szCs w:val="22"/>
        </w:rPr>
        <w:t>for exchange and learning will be concentrated:</w:t>
      </w:r>
    </w:p>
    <w:p w:rsidR="00C17DB5" w:rsidRPr="00312A5F" w:rsidRDefault="00C17DB5" w:rsidP="00D67ECF">
      <w:pPr>
        <w:pStyle w:val="afd"/>
        <w:numPr>
          <w:ilvl w:val="0"/>
          <w:numId w:val="26"/>
        </w:numPr>
        <w:spacing w:after="120"/>
        <w:ind w:left="924" w:hanging="357"/>
        <w:contextualSpacing w:val="0"/>
        <w:jc w:val="both"/>
        <w:rPr>
          <w:rFonts w:ascii="Verdana" w:hAnsi="Verdana"/>
        </w:rPr>
      </w:pPr>
      <w:r w:rsidRPr="00312A5F">
        <w:rPr>
          <w:rFonts w:ascii="Verdana" w:hAnsi="Verdana"/>
        </w:rPr>
        <w:t>strengthening research, technological development and innovation (TO1)</w:t>
      </w:r>
    </w:p>
    <w:p w:rsidR="00C17DB5" w:rsidRPr="00312A5F" w:rsidRDefault="00C17DB5" w:rsidP="00D67ECF">
      <w:pPr>
        <w:pStyle w:val="afd"/>
        <w:numPr>
          <w:ilvl w:val="0"/>
          <w:numId w:val="26"/>
        </w:numPr>
        <w:spacing w:after="120"/>
        <w:ind w:left="924" w:hanging="357"/>
        <w:contextualSpacing w:val="0"/>
        <w:jc w:val="both"/>
        <w:rPr>
          <w:rFonts w:ascii="Verdana" w:hAnsi="Verdana"/>
        </w:rPr>
      </w:pPr>
      <w:r w:rsidRPr="00312A5F">
        <w:rPr>
          <w:rFonts w:ascii="Verdana" w:hAnsi="Verdana"/>
        </w:rPr>
        <w:t>supporting the shift towards a low-carbon economy in all sectors (TO4)</w:t>
      </w:r>
    </w:p>
    <w:p w:rsidR="00C17DB5" w:rsidRPr="00312A5F" w:rsidRDefault="00C17DB5" w:rsidP="00D67ECF">
      <w:pPr>
        <w:pStyle w:val="afd"/>
        <w:numPr>
          <w:ilvl w:val="0"/>
          <w:numId w:val="26"/>
        </w:numPr>
        <w:spacing w:after="120"/>
        <w:ind w:left="924" w:hanging="357"/>
        <w:contextualSpacing w:val="0"/>
        <w:jc w:val="both"/>
        <w:rPr>
          <w:rFonts w:ascii="Verdana" w:hAnsi="Verdana"/>
        </w:rPr>
      </w:pPr>
      <w:r w:rsidRPr="00312A5F">
        <w:rPr>
          <w:rFonts w:ascii="Verdana" w:hAnsi="Verdana"/>
        </w:rPr>
        <w:t>protecting the environment and promoting resource efficiency (T06)</w:t>
      </w:r>
    </w:p>
    <w:p w:rsidR="00360662" w:rsidRPr="00312A5F" w:rsidRDefault="00360662" w:rsidP="00D67ECF">
      <w:pPr>
        <w:pStyle w:val="afd"/>
        <w:numPr>
          <w:ilvl w:val="0"/>
          <w:numId w:val="26"/>
        </w:numPr>
        <w:spacing w:after="120"/>
        <w:ind w:left="924" w:hanging="357"/>
        <w:contextualSpacing w:val="0"/>
        <w:jc w:val="both"/>
        <w:rPr>
          <w:rFonts w:ascii="Verdana" w:eastAsia="MS ??" w:hAnsi="Verdana"/>
        </w:rPr>
      </w:pPr>
      <w:r w:rsidRPr="00312A5F">
        <w:rPr>
          <w:rFonts w:ascii="Verdana" w:hAnsi="Verdana"/>
        </w:rPr>
        <w:t>promoting employment and supporting labour mobility (T08)</w:t>
      </w:r>
    </w:p>
    <w:p w:rsidR="00C17DB5" w:rsidRPr="00312A5F" w:rsidRDefault="00C17DB5" w:rsidP="00D67ECF">
      <w:pPr>
        <w:pStyle w:val="afd"/>
        <w:numPr>
          <w:ilvl w:val="0"/>
          <w:numId w:val="26"/>
        </w:numPr>
        <w:spacing w:after="120"/>
        <w:ind w:left="924" w:hanging="357"/>
        <w:contextualSpacing w:val="0"/>
        <w:jc w:val="both"/>
        <w:rPr>
          <w:rFonts w:ascii="Verdana" w:eastAsia="MS ??" w:hAnsi="Verdana"/>
        </w:rPr>
      </w:pPr>
      <w:r w:rsidRPr="00312A5F">
        <w:rPr>
          <w:rFonts w:ascii="Verdana" w:hAnsi="Verdana"/>
        </w:rPr>
        <w:t>promoting social inclusion and combating poverty (T09)</w:t>
      </w:r>
    </w:p>
    <w:p w:rsidR="00C17DB5" w:rsidRPr="000E4076" w:rsidRDefault="00C17DB5" w:rsidP="00312A5F">
      <w:pPr>
        <w:spacing w:after="120" w:line="276" w:lineRule="auto"/>
        <w:jc w:val="both"/>
        <w:rPr>
          <w:rFonts w:ascii="Verdana" w:hAnsi="Verdana"/>
          <w:color w:val="000000"/>
          <w:sz w:val="22"/>
          <w:szCs w:val="22"/>
        </w:rPr>
      </w:pPr>
      <w:r w:rsidRPr="000E4076">
        <w:rPr>
          <w:rFonts w:ascii="Verdana" w:hAnsi="Verdana"/>
          <w:sz w:val="22"/>
          <w:szCs w:val="22"/>
        </w:rPr>
        <w:t>This concentration will be achieved through the targeting of the calls for proposals for URBACT III networks.</w:t>
      </w:r>
    </w:p>
    <w:p w:rsidR="00C17DB5" w:rsidRPr="000E4076" w:rsidRDefault="00C17DB5" w:rsidP="00312A5F">
      <w:pPr>
        <w:spacing w:after="120" w:line="276" w:lineRule="auto"/>
        <w:jc w:val="both"/>
        <w:rPr>
          <w:rFonts w:ascii="Verdana" w:hAnsi="Verdana"/>
          <w:color w:val="000000"/>
          <w:sz w:val="22"/>
          <w:szCs w:val="22"/>
        </w:rPr>
      </w:pPr>
      <w:r w:rsidRPr="000E4076">
        <w:rPr>
          <w:rFonts w:ascii="Verdana" w:hAnsi="Verdana"/>
          <w:color w:val="000000"/>
          <w:sz w:val="22"/>
          <w:szCs w:val="22"/>
        </w:rPr>
        <w:t>The remaining 30% of the budget for exchange and learning will be available for issues related to the remaining five thematic objectives in response to demand from the cities. These objectives are:</w:t>
      </w:r>
    </w:p>
    <w:p w:rsidR="00C17DB5" w:rsidRPr="000E4076" w:rsidRDefault="00C17DB5" w:rsidP="00D67ECF">
      <w:pPr>
        <w:pStyle w:val="Paragraphedeliste3"/>
        <w:numPr>
          <w:ilvl w:val="0"/>
          <w:numId w:val="27"/>
        </w:numPr>
        <w:spacing w:after="120"/>
        <w:ind w:left="924" w:hanging="357"/>
        <w:contextualSpacing w:val="0"/>
        <w:jc w:val="both"/>
        <w:rPr>
          <w:rFonts w:ascii="Verdana" w:hAnsi="Verdana"/>
          <w:color w:val="000000"/>
        </w:rPr>
      </w:pPr>
      <w:r w:rsidRPr="000E4076">
        <w:rPr>
          <w:rFonts w:ascii="Verdana" w:hAnsi="Verdana"/>
          <w:color w:val="000000"/>
        </w:rPr>
        <w:t>enhancing access to and use and quality of ICT (TO2)</w:t>
      </w:r>
    </w:p>
    <w:p w:rsidR="00C17DB5" w:rsidRPr="000E4076" w:rsidRDefault="00C17DB5" w:rsidP="00D67ECF">
      <w:pPr>
        <w:pStyle w:val="Paragraphedeliste3"/>
        <w:numPr>
          <w:ilvl w:val="0"/>
          <w:numId w:val="27"/>
        </w:numPr>
        <w:spacing w:after="120"/>
        <w:ind w:left="924" w:hanging="357"/>
        <w:contextualSpacing w:val="0"/>
        <w:jc w:val="both"/>
        <w:rPr>
          <w:rFonts w:ascii="Verdana" w:hAnsi="Verdana"/>
          <w:color w:val="000000"/>
        </w:rPr>
      </w:pPr>
      <w:r w:rsidRPr="000E4076">
        <w:rPr>
          <w:rFonts w:ascii="Verdana" w:hAnsi="Verdana"/>
          <w:color w:val="000000"/>
        </w:rPr>
        <w:t>enhancing the competitiveness of SMEs (TO3)</w:t>
      </w:r>
    </w:p>
    <w:p w:rsidR="00C17DB5" w:rsidRPr="000E4076" w:rsidRDefault="00C17DB5" w:rsidP="00D67ECF">
      <w:pPr>
        <w:pStyle w:val="Paragraphedeliste3"/>
        <w:numPr>
          <w:ilvl w:val="0"/>
          <w:numId w:val="27"/>
        </w:numPr>
        <w:spacing w:after="120"/>
        <w:ind w:left="924" w:hanging="357"/>
        <w:contextualSpacing w:val="0"/>
        <w:jc w:val="both"/>
        <w:rPr>
          <w:rFonts w:ascii="Verdana" w:hAnsi="Verdana"/>
          <w:color w:val="000000"/>
        </w:rPr>
      </w:pPr>
      <w:r w:rsidRPr="000E4076">
        <w:rPr>
          <w:rFonts w:ascii="Verdana" w:hAnsi="Verdana"/>
          <w:color w:val="000000"/>
        </w:rPr>
        <w:t>promoting climate change adaptation, risk prevention and management (TO5)</w:t>
      </w:r>
    </w:p>
    <w:p w:rsidR="00C17DB5" w:rsidRPr="000E4076" w:rsidRDefault="00C17DB5" w:rsidP="00D67ECF">
      <w:pPr>
        <w:pStyle w:val="Paragraphedeliste3"/>
        <w:numPr>
          <w:ilvl w:val="0"/>
          <w:numId w:val="27"/>
        </w:numPr>
        <w:spacing w:after="120"/>
        <w:ind w:left="924" w:hanging="357"/>
        <w:contextualSpacing w:val="0"/>
        <w:jc w:val="both"/>
        <w:rPr>
          <w:rFonts w:ascii="Verdana" w:hAnsi="Verdana"/>
          <w:color w:val="000000"/>
        </w:rPr>
      </w:pPr>
      <w:r w:rsidRPr="000E4076">
        <w:rPr>
          <w:rFonts w:ascii="Verdana" w:hAnsi="Verdana"/>
          <w:color w:val="000000"/>
        </w:rPr>
        <w:t>promoting sustainable transport and removing bottlenecks in key network infrastructures (TO7)</w:t>
      </w:r>
    </w:p>
    <w:p w:rsidR="00C17DB5" w:rsidRPr="000E4076" w:rsidRDefault="00C17DB5" w:rsidP="00D67ECF">
      <w:pPr>
        <w:pStyle w:val="Paragraphedeliste3"/>
        <w:numPr>
          <w:ilvl w:val="0"/>
          <w:numId w:val="27"/>
        </w:numPr>
        <w:spacing w:after="120"/>
        <w:ind w:left="924" w:hanging="357"/>
        <w:contextualSpacing w:val="0"/>
        <w:jc w:val="both"/>
        <w:rPr>
          <w:rFonts w:ascii="Verdana" w:hAnsi="Verdana"/>
          <w:color w:val="000000"/>
        </w:rPr>
      </w:pPr>
      <w:r w:rsidRPr="000E4076">
        <w:rPr>
          <w:rFonts w:ascii="Verdana" w:hAnsi="Verdana"/>
          <w:color w:val="000000"/>
        </w:rPr>
        <w:t>investing in education, skills and lifelong learning by developing education and training infrastructure (TO10)</w:t>
      </w:r>
    </w:p>
    <w:p w:rsidR="00C17DB5" w:rsidRPr="000E4076" w:rsidRDefault="00C17DB5" w:rsidP="00312A5F">
      <w:pPr>
        <w:spacing w:after="120" w:line="276" w:lineRule="auto"/>
        <w:jc w:val="both"/>
        <w:rPr>
          <w:rFonts w:ascii="Verdana" w:hAnsi="Verdana"/>
          <w:sz w:val="22"/>
          <w:szCs w:val="22"/>
        </w:rPr>
      </w:pPr>
      <w:r w:rsidRPr="000E4076">
        <w:rPr>
          <w:rFonts w:ascii="Verdana" w:hAnsi="Verdana"/>
          <w:color w:val="000000"/>
          <w:sz w:val="22"/>
          <w:szCs w:val="22"/>
        </w:rPr>
        <w:t xml:space="preserve">This will enable the programme to continue to foster the bottom up approach which is highly praised by cities. This structure for thematic objectives will have the positive </w:t>
      </w:r>
      <w:r w:rsidRPr="000E4076">
        <w:rPr>
          <w:rFonts w:ascii="Verdana" w:hAnsi="Verdana"/>
          <w:sz w:val="22"/>
          <w:szCs w:val="22"/>
        </w:rPr>
        <w:t>effect of helping to achieve the EU2020 goals through the Thematic Objectives and Investment Priorities and helping the URBACT Managing Authority to focus on key priorities for the future period whilst retaining sufficient flexibility to respond to the changing needs of European cities.</w:t>
      </w:r>
    </w:p>
    <w:p w:rsidR="00C17DB5" w:rsidRPr="000E4076" w:rsidRDefault="00C17DB5" w:rsidP="00312A5F">
      <w:pPr>
        <w:spacing w:after="120" w:line="276" w:lineRule="auto"/>
        <w:jc w:val="both"/>
        <w:rPr>
          <w:rFonts w:ascii="Verdana" w:hAnsi="Verdana"/>
          <w:sz w:val="22"/>
          <w:szCs w:val="22"/>
        </w:rPr>
        <w:sectPr w:rsidR="00C17DB5" w:rsidRPr="000E4076" w:rsidSect="00A3517F">
          <w:footerReference w:type="default" r:id="rId24"/>
          <w:pgSz w:w="11906" w:h="16838"/>
          <w:pgMar w:top="1417" w:right="707" w:bottom="1417" w:left="1417" w:header="708" w:footer="708" w:gutter="0"/>
          <w:cols w:space="708"/>
          <w:docGrid w:linePitch="360"/>
        </w:sectPr>
      </w:pPr>
    </w:p>
    <w:p w:rsidR="00C17DB5" w:rsidRPr="000E4076" w:rsidRDefault="00C17DB5" w:rsidP="00C17DB5">
      <w:pPr>
        <w:spacing w:before="60"/>
        <w:jc w:val="both"/>
        <w:rPr>
          <w:rFonts w:ascii="Verdana" w:hAnsi="Verdana"/>
          <w:b/>
          <w:bCs/>
          <w:sz w:val="22"/>
          <w:szCs w:val="22"/>
        </w:rPr>
      </w:pPr>
      <w:r w:rsidRPr="000E4076">
        <w:rPr>
          <w:rFonts w:ascii="Verdana" w:hAnsi="Verdana"/>
          <w:b/>
          <w:bCs/>
          <w:sz w:val="22"/>
          <w:szCs w:val="22"/>
        </w:rPr>
        <w:t>Table 2: Overview of the programme investment strategy</w:t>
      </w:r>
    </w:p>
    <w:tbl>
      <w:tblPr>
        <w:tblW w:w="129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43"/>
        <w:gridCol w:w="1984"/>
        <w:gridCol w:w="1418"/>
        <w:gridCol w:w="1417"/>
        <w:gridCol w:w="2552"/>
        <w:gridCol w:w="2268"/>
      </w:tblGrid>
      <w:tr w:rsidR="00C17DB5" w:rsidRPr="000E4076" w:rsidTr="00C17DB5">
        <w:trPr>
          <w:trHeight w:val="522"/>
        </w:trPr>
        <w:tc>
          <w:tcPr>
            <w:tcW w:w="1418" w:type="dxa"/>
            <w:vMerge w:val="restart"/>
            <w:tcBorders>
              <w:top w:val="single" w:sz="4" w:space="0" w:color="auto"/>
              <w:left w:val="single" w:sz="4" w:space="0" w:color="auto"/>
              <w:bottom w:val="single" w:sz="4" w:space="0" w:color="auto"/>
              <w:right w:val="single" w:sz="4" w:space="0" w:color="auto"/>
            </w:tcBorders>
          </w:tcPr>
          <w:p w:rsidR="00C17DB5" w:rsidRPr="000E4076" w:rsidRDefault="00C17DB5" w:rsidP="00312A5F">
            <w:pPr>
              <w:spacing w:before="60"/>
              <w:jc w:val="center"/>
              <w:rPr>
                <w:rFonts w:ascii="Verdana" w:hAnsi="Verdana"/>
                <w:b/>
                <w:bCs/>
                <w:sz w:val="20"/>
                <w:szCs w:val="20"/>
              </w:rPr>
            </w:pPr>
            <w:r w:rsidRPr="000E4076">
              <w:rPr>
                <w:rFonts w:ascii="Verdana" w:hAnsi="Verdana"/>
                <w:b/>
                <w:bCs/>
                <w:sz w:val="20"/>
                <w:szCs w:val="20"/>
              </w:rPr>
              <w:t>Priority axis</w:t>
            </w:r>
          </w:p>
          <w:p w:rsidR="00C17DB5" w:rsidRPr="000E4076" w:rsidRDefault="00C17DB5" w:rsidP="00312A5F">
            <w:pPr>
              <w:spacing w:before="60"/>
              <w:jc w:val="center"/>
              <w:rPr>
                <w:rFonts w:ascii="Verdana" w:hAnsi="Verdana"/>
                <w:sz w:val="20"/>
                <w:szCs w:val="20"/>
              </w:rPr>
            </w:pPr>
          </w:p>
        </w:tc>
        <w:tc>
          <w:tcPr>
            <w:tcW w:w="1843" w:type="dxa"/>
            <w:vMerge w:val="restart"/>
            <w:tcBorders>
              <w:top w:val="single" w:sz="4" w:space="0" w:color="auto"/>
              <w:left w:val="single" w:sz="4" w:space="0" w:color="auto"/>
              <w:bottom w:val="single" w:sz="4" w:space="0" w:color="auto"/>
              <w:right w:val="single" w:sz="4" w:space="0" w:color="auto"/>
            </w:tcBorders>
          </w:tcPr>
          <w:p w:rsidR="00C17DB5" w:rsidRPr="000E4076" w:rsidRDefault="00C17DB5" w:rsidP="00312A5F">
            <w:pPr>
              <w:spacing w:before="60"/>
              <w:jc w:val="center"/>
              <w:rPr>
                <w:rFonts w:ascii="Verdana" w:hAnsi="Verdana"/>
                <w:b/>
                <w:bCs/>
                <w:sz w:val="20"/>
                <w:szCs w:val="20"/>
              </w:rPr>
            </w:pPr>
            <w:r w:rsidRPr="000E4076">
              <w:rPr>
                <w:rFonts w:ascii="Verdana" w:hAnsi="Verdana"/>
                <w:b/>
                <w:bCs/>
                <w:sz w:val="20"/>
                <w:szCs w:val="20"/>
              </w:rPr>
              <w:t>ERDF support  - EUR</w:t>
            </w:r>
          </w:p>
        </w:tc>
        <w:tc>
          <w:tcPr>
            <w:tcW w:w="4819" w:type="dxa"/>
            <w:gridSpan w:val="3"/>
            <w:tcBorders>
              <w:top w:val="single" w:sz="4" w:space="0" w:color="auto"/>
              <w:left w:val="single" w:sz="4" w:space="0" w:color="auto"/>
              <w:bottom w:val="single" w:sz="4" w:space="0" w:color="auto"/>
              <w:right w:val="single" w:sz="4" w:space="0" w:color="auto"/>
            </w:tcBorders>
          </w:tcPr>
          <w:p w:rsidR="00C17DB5" w:rsidRPr="000E4076" w:rsidRDefault="00C17DB5" w:rsidP="00312A5F">
            <w:pPr>
              <w:spacing w:before="60"/>
              <w:jc w:val="center"/>
              <w:rPr>
                <w:rFonts w:ascii="Verdana" w:hAnsi="Verdana"/>
                <w:b/>
                <w:bCs/>
                <w:sz w:val="20"/>
                <w:szCs w:val="20"/>
              </w:rPr>
            </w:pPr>
            <w:r w:rsidRPr="000E4076">
              <w:rPr>
                <w:rFonts w:ascii="Verdana" w:hAnsi="Verdana"/>
                <w:b/>
                <w:bCs/>
                <w:sz w:val="20"/>
                <w:szCs w:val="20"/>
              </w:rPr>
              <w:t>Share (%) of the total Union support to the operational programme (by Fund)</w:t>
            </w:r>
          </w:p>
        </w:tc>
        <w:tc>
          <w:tcPr>
            <w:tcW w:w="2552" w:type="dxa"/>
            <w:vMerge w:val="restart"/>
            <w:tcBorders>
              <w:top w:val="single" w:sz="4" w:space="0" w:color="auto"/>
              <w:left w:val="single" w:sz="4" w:space="0" w:color="auto"/>
              <w:bottom w:val="single" w:sz="4" w:space="0" w:color="auto"/>
              <w:right w:val="single" w:sz="4" w:space="0" w:color="auto"/>
            </w:tcBorders>
          </w:tcPr>
          <w:p w:rsidR="00C17DB5" w:rsidRPr="000E4076" w:rsidRDefault="00C17DB5" w:rsidP="00312A5F">
            <w:pPr>
              <w:spacing w:before="60"/>
              <w:jc w:val="center"/>
              <w:rPr>
                <w:rFonts w:ascii="Verdana" w:hAnsi="Verdana"/>
                <w:b/>
                <w:bCs/>
                <w:sz w:val="20"/>
                <w:szCs w:val="20"/>
              </w:rPr>
            </w:pPr>
            <w:r w:rsidRPr="000E4076">
              <w:rPr>
                <w:rFonts w:ascii="Verdana" w:hAnsi="Verdana"/>
                <w:b/>
                <w:bCs/>
                <w:sz w:val="20"/>
                <w:szCs w:val="20"/>
              </w:rPr>
              <w:t>Thematic objective</w:t>
            </w:r>
          </w:p>
          <w:p w:rsidR="00C17DB5" w:rsidRPr="000E4076" w:rsidRDefault="00C17DB5" w:rsidP="00312A5F">
            <w:pPr>
              <w:spacing w:before="60"/>
              <w:jc w:val="center"/>
              <w:rPr>
                <w:rFonts w:ascii="Verdana" w:hAnsi="Verdana"/>
                <w:b/>
                <w:bCs/>
                <w:sz w:val="20"/>
                <w:szCs w:val="20"/>
              </w:rPr>
            </w:pPr>
          </w:p>
        </w:tc>
        <w:tc>
          <w:tcPr>
            <w:tcW w:w="2268" w:type="dxa"/>
            <w:vMerge w:val="restart"/>
            <w:tcBorders>
              <w:top w:val="single" w:sz="4" w:space="0" w:color="auto"/>
              <w:left w:val="single" w:sz="4" w:space="0" w:color="auto"/>
              <w:right w:val="single" w:sz="4" w:space="0" w:color="auto"/>
            </w:tcBorders>
          </w:tcPr>
          <w:p w:rsidR="00C17DB5" w:rsidRPr="000E4076" w:rsidRDefault="00C17DB5" w:rsidP="00312A5F">
            <w:pPr>
              <w:spacing w:before="60"/>
              <w:jc w:val="center"/>
              <w:rPr>
                <w:rFonts w:ascii="Verdana" w:hAnsi="Verdana"/>
                <w:b/>
                <w:bCs/>
                <w:sz w:val="20"/>
                <w:szCs w:val="20"/>
              </w:rPr>
            </w:pPr>
            <w:r w:rsidRPr="000E4076">
              <w:rPr>
                <w:rFonts w:ascii="Verdana" w:hAnsi="Verdana"/>
                <w:b/>
                <w:bCs/>
                <w:sz w:val="20"/>
                <w:szCs w:val="20"/>
              </w:rPr>
              <w:t>Investment Priority</w:t>
            </w:r>
          </w:p>
        </w:tc>
      </w:tr>
      <w:tr w:rsidR="00C17DB5" w:rsidRPr="000E4076" w:rsidTr="00C17DB5">
        <w:trPr>
          <w:trHeight w:val="521"/>
        </w:trPr>
        <w:tc>
          <w:tcPr>
            <w:tcW w:w="1418" w:type="dxa"/>
            <w:vMerge/>
            <w:tcBorders>
              <w:top w:val="single" w:sz="4" w:space="0" w:color="auto"/>
              <w:left w:val="single" w:sz="4" w:space="0" w:color="auto"/>
              <w:bottom w:val="single" w:sz="4" w:space="0" w:color="auto"/>
              <w:right w:val="single" w:sz="4" w:space="0" w:color="auto"/>
            </w:tcBorders>
            <w:vAlign w:val="center"/>
          </w:tcPr>
          <w:p w:rsidR="00C17DB5" w:rsidRPr="000E4076" w:rsidRDefault="00C17DB5" w:rsidP="00C17DB5">
            <w:pPr>
              <w:spacing w:before="60"/>
              <w:jc w:val="both"/>
              <w:rPr>
                <w:rFonts w:ascii="Verdana" w:hAnsi="Verdana"/>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C17DB5" w:rsidRPr="000E4076" w:rsidRDefault="00C17DB5" w:rsidP="00C17DB5">
            <w:pPr>
              <w:spacing w:before="60"/>
              <w:jc w:val="both"/>
              <w:rPr>
                <w:rFonts w:ascii="Verdana" w:hAnsi="Verdana"/>
                <w:b/>
                <w:bCs/>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C17DB5" w:rsidRPr="000E4076" w:rsidRDefault="00C17DB5" w:rsidP="00312A5F">
            <w:pPr>
              <w:spacing w:before="60"/>
              <w:jc w:val="center"/>
              <w:rPr>
                <w:rFonts w:ascii="Verdana" w:hAnsi="Verdana"/>
                <w:b/>
                <w:bCs/>
                <w:sz w:val="20"/>
                <w:szCs w:val="20"/>
              </w:rPr>
            </w:pPr>
            <w:r w:rsidRPr="000E4076">
              <w:rPr>
                <w:rFonts w:ascii="Verdana" w:hAnsi="Verdana"/>
                <w:b/>
                <w:bCs/>
                <w:sz w:val="20"/>
                <w:szCs w:val="20"/>
              </w:rPr>
              <w:t>ERDF</w:t>
            </w:r>
          </w:p>
        </w:tc>
        <w:tc>
          <w:tcPr>
            <w:tcW w:w="1418" w:type="dxa"/>
            <w:tcBorders>
              <w:top w:val="single" w:sz="4" w:space="0" w:color="auto"/>
              <w:left w:val="single" w:sz="4" w:space="0" w:color="auto"/>
              <w:bottom w:val="single" w:sz="4" w:space="0" w:color="auto"/>
              <w:right w:val="single" w:sz="4" w:space="0" w:color="auto"/>
            </w:tcBorders>
            <w:vAlign w:val="center"/>
          </w:tcPr>
          <w:p w:rsidR="00C17DB5" w:rsidRPr="000E4076" w:rsidRDefault="00C17DB5" w:rsidP="00312A5F">
            <w:pPr>
              <w:spacing w:before="60"/>
              <w:jc w:val="center"/>
              <w:rPr>
                <w:rFonts w:ascii="Verdana" w:hAnsi="Verdana"/>
                <w:b/>
                <w:bCs/>
                <w:sz w:val="20"/>
                <w:szCs w:val="20"/>
              </w:rPr>
            </w:pPr>
            <w:r w:rsidRPr="000E4076">
              <w:rPr>
                <w:rFonts w:ascii="Verdana" w:hAnsi="Verdana"/>
                <w:b/>
                <w:bCs/>
                <w:sz w:val="20"/>
                <w:szCs w:val="20"/>
              </w:rPr>
              <w:t>ENI</w:t>
            </w:r>
          </w:p>
        </w:tc>
        <w:tc>
          <w:tcPr>
            <w:tcW w:w="1417" w:type="dxa"/>
            <w:tcBorders>
              <w:top w:val="single" w:sz="4" w:space="0" w:color="auto"/>
              <w:left w:val="single" w:sz="4" w:space="0" w:color="auto"/>
              <w:bottom w:val="single" w:sz="4" w:space="0" w:color="auto"/>
              <w:right w:val="single" w:sz="4" w:space="0" w:color="auto"/>
            </w:tcBorders>
            <w:vAlign w:val="center"/>
          </w:tcPr>
          <w:p w:rsidR="00C17DB5" w:rsidRPr="000E4076" w:rsidRDefault="00C17DB5" w:rsidP="00312A5F">
            <w:pPr>
              <w:spacing w:before="60"/>
              <w:jc w:val="center"/>
              <w:rPr>
                <w:rFonts w:ascii="Verdana" w:hAnsi="Verdana"/>
                <w:b/>
                <w:bCs/>
                <w:sz w:val="20"/>
                <w:szCs w:val="20"/>
              </w:rPr>
            </w:pPr>
            <w:r w:rsidRPr="000E4076">
              <w:rPr>
                <w:rFonts w:ascii="Verdana" w:hAnsi="Verdana"/>
                <w:b/>
                <w:bCs/>
                <w:sz w:val="20"/>
                <w:szCs w:val="20"/>
              </w:rPr>
              <w:t>IPA</w:t>
            </w:r>
          </w:p>
        </w:tc>
        <w:tc>
          <w:tcPr>
            <w:tcW w:w="2552" w:type="dxa"/>
            <w:vMerge/>
            <w:tcBorders>
              <w:top w:val="single" w:sz="4" w:space="0" w:color="auto"/>
              <w:left w:val="single" w:sz="4" w:space="0" w:color="auto"/>
              <w:bottom w:val="single" w:sz="4" w:space="0" w:color="auto"/>
              <w:right w:val="single" w:sz="4" w:space="0" w:color="auto"/>
            </w:tcBorders>
            <w:vAlign w:val="center"/>
          </w:tcPr>
          <w:p w:rsidR="00C17DB5" w:rsidRPr="000E4076" w:rsidRDefault="00C17DB5" w:rsidP="00C17DB5">
            <w:pPr>
              <w:spacing w:before="60"/>
              <w:jc w:val="both"/>
              <w:rPr>
                <w:rFonts w:ascii="Verdana" w:hAnsi="Verdana"/>
                <w:b/>
                <w:bCs/>
                <w:sz w:val="20"/>
                <w:szCs w:val="20"/>
              </w:rPr>
            </w:pPr>
          </w:p>
        </w:tc>
        <w:tc>
          <w:tcPr>
            <w:tcW w:w="2268" w:type="dxa"/>
            <w:vMerge/>
            <w:tcBorders>
              <w:left w:val="single" w:sz="4" w:space="0" w:color="auto"/>
              <w:bottom w:val="single" w:sz="4" w:space="0" w:color="auto"/>
              <w:right w:val="single" w:sz="4" w:space="0" w:color="auto"/>
            </w:tcBorders>
          </w:tcPr>
          <w:p w:rsidR="00C17DB5" w:rsidRPr="000E4076" w:rsidRDefault="00C17DB5" w:rsidP="00C17DB5">
            <w:pPr>
              <w:spacing w:before="60"/>
              <w:jc w:val="both"/>
              <w:rPr>
                <w:rFonts w:ascii="Verdana" w:hAnsi="Verdana"/>
                <w:b/>
                <w:bCs/>
                <w:sz w:val="20"/>
                <w:szCs w:val="20"/>
              </w:rPr>
            </w:pPr>
          </w:p>
        </w:tc>
      </w:tr>
      <w:tr w:rsidR="00C17DB5" w:rsidRPr="000E4076" w:rsidTr="00C17DB5">
        <w:trPr>
          <w:trHeight w:val="5140"/>
        </w:trPr>
        <w:tc>
          <w:tcPr>
            <w:tcW w:w="1418" w:type="dxa"/>
            <w:tcBorders>
              <w:top w:val="single" w:sz="4" w:space="0" w:color="auto"/>
              <w:left w:val="single" w:sz="4" w:space="0" w:color="auto"/>
              <w:right w:val="single" w:sz="4" w:space="0" w:color="auto"/>
            </w:tcBorders>
          </w:tcPr>
          <w:p w:rsidR="00C17DB5" w:rsidRPr="000E4076" w:rsidRDefault="00C17DB5" w:rsidP="00C17DB5">
            <w:pPr>
              <w:spacing w:before="60"/>
              <w:jc w:val="center"/>
              <w:rPr>
                <w:rFonts w:ascii="Verdana" w:hAnsi="Verdana"/>
                <w:sz w:val="20"/>
                <w:szCs w:val="20"/>
              </w:rPr>
            </w:pPr>
            <w:r w:rsidRPr="000E4076">
              <w:rPr>
                <w:rFonts w:ascii="Verdana" w:hAnsi="Verdana"/>
                <w:sz w:val="20"/>
                <w:szCs w:val="20"/>
              </w:rPr>
              <w:t xml:space="preserve">1 Promoting Integrated Sustainable Urban </w:t>
            </w:r>
            <w:r w:rsidR="0029014E" w:rsidRPr="000E4076">
              <w:rPr>
                <w:rFonts w:ascii="Verdana" w:hAnsi="Verdana"/>
                <w:sz w:val="20"/>
                <w:szCs w:val="20"/>
              </w:rPr>
              <w:t>Develop</w:t>
            </w:r>
            <w:r w:rsidR="00155DD3" w:rsidRPr="000E4076">
              <w:rPr>
                <w:rFonts w:ascii="Verdana" w:hAnsi="Verdana"/>
                <w:sz w:val="20"/>
                <w:szCs w:val="20"/>
              </w:rPr>
              <w:t>-</w:t>
            </w:r>
            <w:r w:rsidR="0029014E" w:rsidRPr="000E4076">
              <w:rPr>
                <w:rFonts w:ascii="Verdana" w:hAnsi="Verdana"/>
                <w:sz w:val="20"/>
                <w:szCs w:val="20"/>
              </w:rPr>
              <w:t>ment</w:t>
            </w:r>
          </w:p>
        </w:tc>
        <w:tc>
          <w:tcPr>
            <w:tcW w:w="1843" w:type="dxa"/>
            <w:tcBorders>
              <w:top w:val="single" w:sz="4" w:space="0" w:color="auto"/>
              <w:left w:val="single" w:sz="4" w:space="0" w:color="auto"/>
              <w:right w:val="single" w:sz="4" w:space="0" w:color="auto"/>
            </w:tcBorders>
            <w:vAlign w:val="center"/>
          </w:tcPr>
          <w:p w:rsidR="00C17DB5" w:rsidRPr="000E4076" w:rsidRDefault="00C17DB5" w:rsidP="00C17DB5">
            <w:pPr>
              <w:spacing w:before="60"/>
              <w:jc w:val="center"/>
              <w:rPr>
                <w:rFonts w:ascii="Verdana" w:hAnsi="Verdana"/>
                <w:sz w:val="20"/>
                <w:szCs w:val="20"/>
              </w:rPr>
            </w:pPr>
            <w:r w:rsidRPr="000E4076">
              <w:rPr>
                <w:rFonts w:ascii="Verdana" w:hAnsi="Verdana"/>
                <w:sz w:val="20"/>
                <w:szCs w:val="20"/>
              </w:rPr>
              <w:t>69 843 880€</w:t>
            </w:r>
          </w:p>
        </w:tc>
        <w:tc>
          <w:tcPr>
            <w:tcW w:w="1984" w:type="dxa"/>
            <w:tcBorders>
              <w:top w:val="single" w:sz="4" w:space="0" w:color="auto"/>
              <w:left w:val="single" w:sz="4" w:space="0" w:color="auto"/>
              <w:right w:val="single" w:sz="4" w:space="0" w:color="auto"/>
            </w:tcBorders>
            <w:vAlign w:val="center"/>
          </w:tcPr>
          <w:p w:rsidR="00C17DB5" w:rsidRPr="000E4076" w:rsidRDefault="00C17DB5" w:rsidP="00C17DB5">
            <w:pPr>
              <w:spacing w:before="60"/>
              <w:jc w:val="center"/>
              <w:rPr>
                <w:rFonts w:ascii="Verdana" w:hAnsi="Verdana"/>
                <w:sz w:val="20"/>
                <w:szCs w:val="20"/>
              </w:rPr>
            </w:pPr>
            <w:r w:rsidRPr="000E4076">
              <w:rPr>
                <w:rFonts w:ascii="Verdana" w:hAnsi="Verdana"/>
                <w:sz w:val="20"/>
                <w:szCs w:val="20"/>
              </w:rPr>
              <w:t>94%</w:t>
            </w:r>
          </w:p>
        </w:tc>
        <w:tc>
          <w:tcPr>
            <w:tcW w:w="1418" w:type="dxa"/>
            <w:tcBorders>
              <w:top w:val="single" w:sz="4" w:space="0" w:color="auto"/>
              <w:left w:val="single" w:sz="4" w:space="0" w:color="auto"/>
              <w:right w:val="single" w:sz="4" w:space="0" w:color="auto"/>
            </w:tcBorders>
          </w:tcPr>
          <w:p w:rsidR="00C17DB5" w:rsidRPr="000E4076" w:rsidRDefault="00C17DB5" w:rsidP="00C17DB5">
            <w:pPr>
              <w:spacing w:before="60"/>
              <w:jc w:val="center"/>
              <w:rPr>
                <w:rFonts w:ascii="Verdana" w:hAnsi="Verdana"/>
                <w:sz w:val="20"/>
                <w:szCs w:val="20"/>
              </w:rPr>
            </w:pPr>
          </w:p>
        </w:tc>
        <w:tc>
          <w:tcPr>
            <w:tcW w:w="1417" w:type="dxa"/>
            <w:tcBorders>
              <w:top w:val="single" w:sz="4" w:space="0" w:color="auto"/>
              <w:left w:val="single" w:sz="4" w:space="0" w:color="auto"/>
              <w:right w:val="single" w:sz="4" w:space="0" w:color="auto"/>
            </w:tcBorders>
          </w:tcPr>
          <w:p w:rsidR="00C17DB5" w:rsidRPr="000E4076" w:rsidRDefault="00C17DB5" w:rsidP="00C17DB5">
            <w:pPr>
              <w:spacing w:before="60"/>
              <w:jc w:val="both"/>
              <w:rPr>
                <w:rFonts w:ascii="Verdana" w:hAnsi="Verdana"/>
                <w:sz w:val="20"/>
                <w:szCs w:val="20"/>
              </w:rPr>
            </w:pPr>
          </w:p>
        </w:tc>
        <w:tc>
          <w:tcPr>
            <w:tcW w:w="2552" w:type="dxa"/>
            <w:tcBorders>
              <w:top w:val="single" w:sz="4" w:space="0" w:color="auto"/>
              <w:left w:val="single" w:sz="4" w:space="0" w:color="auto"/>
              <w:right w:val="single" w:sz="4" w:space="0" w:color="auto"/>
            </w:tcBorders>
            <w:vAlign w:val="center"/>
          </w:tcPr>
          <w:p w:rsidR="00C17DB5" w:rsidRPr="000E4076" w:rsidRDefault="00C17DB5" w:rsidP="000565D8">
            <w:pPr>
              <w:spacing w:before="60"/>
              <w:jc w:val="center"/>
              <w:rPr>
                <w:rFonts w:ascii="Verdana" w:hAnsi="Verdana"/>
                <w:sz w:val="20"/>
                <w:szCs w:val="20"/>
              </w:rPr>
            </w:pPr>
            <w:r w:rsidRPr="000E4076">
              <w:rPr>
                <w:rFonts w:ascii="Verdana" w:hAnsi="Verdana"/>
                <w:sz w:val="20"/>
                <w:szCs w:val="20"/>
              </w:rPr>
              <w:t>No. 11 Enhancing Institutional Capacity and efficient public administration</w:t>
            </w:r>
          </w:p>
        </w:tc>
        <w:tc>
          <w:tcPr>
            <w:tcW w:w="2268" w:type="dxa"/>
            <w:tcBorders>
              <w:top w:val="single" w:sz="4" w:space="0" w:color="auto"/>
              <w:left w:val="single" w:sz="4" w:space="0" w:color="auto"/>
              <w:right w:val="single" w:sz="4" w:space="0" w:color="auto"/>
            </w:tcBorders>
          </w:tcPr>
          <w:p w:rsidR="00C17DB5" w:rsidRPr="000E4076" w:rsidRDefault="00C17DB5" w:rsidP="00C17DB5">
            <w:pPr>
              <w:spacing w:before="60"/>
              <w:jc w:val="center"/>
              <w:rPr>
                <w:rFonts w:ascii="Verdana" w:hAnsi="Verdana"/>
                <w:sz w:val="20"/>
                <w:szCs w:val="20"/>
              </w:rPr>
            </w:pPr>
          </w:p>
          <w:p w:rsidR="00C17DB5" w:rsidRPr="000E4076" w:rsidRDefault="00C17DB5" w:rsidP="00C17DB5">
            <w:pPr>
              <w:spacing w:before="60"/>
              <w:jc w:val="center"/>
              <w:rPr>
                <w:rFonts w:ascii="Verdana" w:hAnsi="Verdana"/>
                <w:sz w:val="20"/>
                <w:szCs w:val="20"/>
              </w:rPr>
            </w:pPr>
            <w:r w:rsidRPr="000E4076">
              <w:rPr>
                <w:rFonts w:ascii="Verdana" w:hAnsi="Verdana"/>
                <w:iCs/>
                <w:color w:val="000000"/>
                <w:sz w:val="20"/>
                <w:szCs w:val="20"/>
              </w:rPr>
              <w:t>Disseminating good practice and expertise and capitalising on the results of the exchange of experience in relation to sustainable urban development, including urban-rural linkages’</w:t>
            </w:r>
          </w:p>
        </w:tc>
      </w:tr>
      <w:tr w:rsidR="00C17DB5" w:rsidRPr="000E4076" w:rsidTr="00C17DB5">
        <w:trPr>
          <w:trHeight w:val="1417"/>
        </w:trPr>
        <w:tc>
          <w:tcPr>
            <w:tcW w:w="1418" w:type="dxa"/>
            <w:tcBorders>
              <w:top w:val="single" w:sz="4" w:space="0" w:color="auto"/>
              <w:left w:val="single" w:sz="4" w:space="0" w:color="auto"/>
              <w:right w:val="single" w:sz="4" w:space="0" w:color="auto"/>
            </w:tcBorders>
          </w:tcPr>
          <w:p w:rsidR="00C17DB5" w:rsidRPr="000E4076" w:rsidRDefault="00C17DB5" w:rsidP="00C17DB5">
            <w:pPr>
              <w:spacing w:before="60"/>
              <w:jc w:val="center"/>
              <w:rPr>
                <w:rFonts w:ascii="Verdana" w:hAnsi="Verdana"/>
                <w:sz w:val="20"/>
                <w:szCs w:val="20"/>
              </w:rPr>
            </w:pPr>
            <w:r w:rsidRPr="000E4076">
              <w:rPr>
                <w:rFonts w:ascii="Verdana" w:hAnsi="Verdana"/>
                <w:sz w:val="20"/>
                <w:szCs w:val="20"/>
              </w:rPr>
              <w:t>2. Technical Assistance</w:t>
            </w:r>
          </w:p>
        </w:tc>
        <w:tc>
          <w:tcPr>
            <w:tcW w:w="1843" w:type="dxa"/>
            <w:tcBorders>
              <w:top w:val="single" w:sz="4" w:space="0" w:color="auto"/>
              <w:left w:val="single" w:sz="4" w:space="0" w:color="auto"/>
              <w:right w:val="single" w:sz="4" w:space="0" w:color="auto"/>
            </w:tcBorders>
            <w:vAlign w:val="center"/>
          </w:tcPr>
          <w:p w:rsidR="00C17DB5" w:rsidRPr="000E4076" w:rsidRDefault="00C17DB5" w:rsidP="00C17DB5">
            <w:pPr>
              <w:spacing w:before="60"/>
              <w:jc w:val="center"/>
              <w:rPr>
                <w:rFonts w:ascii="Verdana" w:hAnsi="Verdana"/>
                <w:sz w:val="20"/>
                <w:szCs w:val="20"/>
              </w:rPr>
            </w:pPr>
            <w:r w:rsidRPr="000E4076">
              <w:rPr>
                <w:rFonts w:ascii="Verdana" w:hAnsi="Verdana"/>
                <w:sz w:val="20"/>
                <w:szCs w:val="20"/>
              </w:rPr>
              <w:t>4 458 120€</w:t>
            </w:r>
          </w:p>
        </w:tc>
        <w:tc>
          <w:tcPr>
            <w:tcW w:w="1984" w:type="dxa"/>
            <w:tcBorders>
              <w:top w:val="single" w:sz="4" w:space="0" w:color="auto"/>
              <w:left w:val="single" w:sz="4" w:space="0" w:color="auto"/>
              <w:right w:val="single" w:sz="4" w:space="0" w:color="auto"/>
            </w:tcBorders>
            <w:vAlign w:val="center"/>
          </w:tcPr>
          <w:p w:rsidR="00C17DB5" w:rsidRPr="000E4076" w:rsidRDefault="00C17DB5" w:rsidP="00C17DB5">
            <w:pPr>
              <w:spacing w:before="60"/>
              <w:jc w:val="center"/>
              <w:rPr>
                <w:rFonts w:ascii="Verdana" w:hAnsi="Verdana"/>
                <w:sz w:val="20"/>
                <w:szCs w:val="20"/>
              </w:rPr>
            </w:pPr>
            <w:r w:rsidRPr="000E4076">
              <w:rPr>
                <w:rFonts w:ascii="Verdana" w:hAnsi="Verdana"/>
                <w:sz w:val="20"/>
                <w:szCs w:val="20"/>
              </w:rPr>
              <w:t>6%</w:t>
            </w:r>
          </w:p>
        </w:tc>
        <w:tc>
          <w:tcPr>
            <w:tcW w:w="1418" w:type="dxa"/>
            <w:tcBorders>
              <w:top w:val="single" w:sz="4" w:space="0" w:color="auto"/>
              <w:left w:val="single" w:sz="4" w:space="0" w:color="auto"/>
              <w:right w:val="single" w:sz="4" w:space="0" w:color="auto"/>
            </w:tcBorders>
          </w:tcPr>
          <w:p w:rsidR="00C17DB5" w:rsidRPr="000E4076" w:rsidRDefault="00C17DB5" w:rsidP="00C17DB5">
            <w:pPr>
              <w:spacing w:before="60"/>
              <w:jc w:val="center"/>
              <w:rPr>
                <w:rFonts w:ascii="Verdana" w:hAnsi="Verdana"/>
                <w:sz w:val="20"/>
                <w:szCs w:val="20"/>
              </w:rPr>
            </w:pPr>
          </w:p>
        </w:tc>
        <w:tc>
          <w:tcPr>
            <w:tcW w:w="1417" w:type="dxa"/>
            <w:tcBorders>
              <w:top w:val="single" w:sz="4" w:space="0" w:color="auto"/>
              <w:left w:val="single" w:sz="4" w:space="0" w:color="auto"/>
              <w:right w:val="single" w:sz="4" w:space="0" w:color="auto"/>
            </w:tcBorders>
          </w:tcPr>
          <w:p w:rsidR="00C17DB5" w:rsidRPr="000E4076" w:rsidRDefault="00C17DB5" w:rsidP="00C17DB5">
            <w:pPr>
              <w:spacing w:before="60"/>
              <w:jc w:val="both"/>
              <w:rPr>
                <w:rFonts w:ascii="Verdana" w:hAnsi="Verdana"/>
                <w:sz w:val="20"/>
                <w:szCs w:val="20"/>
              </w:rPr>
            </w:pPr>
          </w:p>
        </w:tc>
        <w:tc>
          <w:tcPr>
            <w:tcW w:w="2552" w:type="dxa"/>
            <w:tcBorders>
              <w:top w:val="single" w:sz="4" w:space="0" w:color="auto"/>
              <w:left w:val="single" w:sz="4" w:space="0" w:color="auto"/>
              <w:right w:val="single" w:sz="4" w:space="0" w:color="auto"/>
            </w:tcBorders>
            <w:vAlign w:val="center"/>
          </w:tcPr>
          <w:p w:rsidR="00C17DB5" w:rsidRPr="000E4076" w:rsidRDefault="00C17DB5" w:rsidP="00C17DB5">
            <w:pPr>
              <w:spacing w:before="60"/>
              <w:jc w:val="center"/>
              <w:rPr>
                <w:rFonts w:ascii="Verdana" w:hAnsi="Verdana"/>
                <w:sz w:val="20"/>
                <w:szCs w:val="20"/>
              </w:rPr>
            </w:pPr>
          </w:p>
        </w:tc>
        <w:tc>
          <w:tcPr>
            <w:tcW w:w="2268" w:type="dxa"/>
            <w:tcBorders>
              <w:top w:val="single" w:sz="4" w:space="0" w:color="auto"/>
              <w:left w:val="single" w:sz="4" w:space="0" w:color="auto"/>
              <w:right w:val="single" w:sz="4" w:space="0" w:color="auto"/>
            </w:tcBorders>
          </w:tcPr>
          <w:p w:rsidR="00C17DB5" w:rsidRPr="000E4076" w:rsidRDefault="00C17DB5" w:rsidP="00C17DB5">
            <w:pPr>
              <w:spacing w:before="60"/>
              <w:jc w:val="center"/>
              <w:rPr>
                <w:rFonts w:ascii="Verdana" w:hAnsi="Verdana"/>
                <w:sz w:val="20"/>
                <w:szCs w:val="20"/>
              </w:rPr>
            </w:pPr>
          </w:p>
        </w:tc>
      </w:tr>
    </w:tbl>
    <w:p w:rsidR="00C17DB5" w:rsidRPr="004F5F2B" w:rsidRDefault="00C17DB5" w:rsidP="00C17DB5">
      <w:pPr>
        <w:spacing w:before="60"/>
        <w:jc w:val="both"/>
        <w:rPr>
          <w:rFonts w:ascii="Verdana" w:hAnsi="Verdana"/>
          <w:sz w:val="20"/>
          <w:szCs w:val="20"/>
        </w:rPr>
      </w:pPr>
    </w:p>
    <w:p w:rsidR="009921FD" w:rsidRPr="004F5F2B" w:rsidRDefault="009921FD" w:rsidP="00592786">
      <w:pPr>
        <w:ind w:firstLine="708"/>
        <w:rPr>
          <w:rFonts w:ascii="Verdana" w:hAnsi="Verdana"/>
        </w:rPr>
      </w:pPr>
    </w:p>
    <w:p w:rsidR="009400AD" w:rsidRPr="004F5F2B" w:rsidRDefault="009400AD" w:rsidP="00592786">
      <w:pPr>
        <w:ind w:firstLine="708"/>
        <w:rPr>
          <w:rFonts w:ascii="Verdana" w:hAnsi="Verdana"/>
        </w:rPr>
      </w:pPr>
    </w:p>
    <w:p w:rsidR="009400AD" w:rsidRPr="004F5F2B" w:rsidRDefault="009400AD" w:rsidP="00592786">
      <w:pPr>
        <w:ind w:firstLine="708"/>
        <w:rPr>
          <w:rFonts w:ascii="Verdana" w:hAnsi="Verdana"/>
        </w:rPr>
        <w:sectPr w:rsidR="009400AD" w:rsidRPr="004F5F2B" w:rsidSect="009921FD">
          <w:footerReference w:type="default" r:id="rId25"/>
          <w:pgSz w:w="16838" w:h="11906" w:orient="landscape"/>
          <w:pgMar w:top="1417" w:right="1417" w:bottom="1417" w:left="1417" w:header="708" w:footer="708" w:gutter="0"/>
          <w:cols w:space="708"/>
          <w:docGrid w:linePitch="360"/>
        </w:sectPr>
      </w:pPr>
    </w:p>
    <w:p w:rsidR="00E21452" w:rsidRPr="004F5F2B" w:rsidRDefault="00E21452" w:rsidP="00E21452">
      <w:pPr>
        <w:ind w:right="254"/>
        <w:jc w:val="both"/>
        <w:rPr>
          <w:rFonts w:ascii="Verdana" w:hAnsi="Verdana"/>
          <w:lang w:eastAsia="ar-SA"/>
        </w:rPr>
      </w:pPr>
      <w:bookmarkStart w:id="10" w:name="_Toc239760230"/>
    </w:p>
    <w:p w:rsidR="005C7439" w:rsidRPr="00CB6B70" w:rsidRDefault="005C7439" w:rsidP="00CB6B70"/>
    <w:p w:rsidR="005C7439" w:rsidRPr="00CB6B70" w:rsidRDefault="005C7439" w:rsidP="00CB6B70"/>
    <w:p w:rsidR="005C7439" w:rsidRPr="004F5F2B" w:rsidRDefault="005C7439" w:rsidP="005C7439">
      <w:pPr>
        <w:rPr>
          <w:lang w:eastAsia="ar-SA"/>
        </w:rPr>
      </w:pPr>
    </w:p>
    <w:p w:rsidR="005C7439" w:rsidRPr="004F5F2B" w:rsidRDefault="005C7439" w:rsidP="005C7439">
      <w:pPr>
        <w:rPr>
          <w:lang w:eastAsia="ar-SA"/>
        </w:rPr>
      </w:pPr>
    </w:p>
    <w:p w:rsidR="005C7439" w:rsidRPr="004F5F2B" w:rsidRDefault="005C7439" w:rsidP="005C7439">
      <w:pPr>
        <w:rPr>
          <w:lang w:eastAsia="ar-SA"/>
        </w:rPr>
      </w:pPr>
    </w:p>
    <w:p w:rsidR="00DC282F" w:rsidRPr="004F5F2B" w:rsidRDefault="00DC282F" w:rsidP="005C7439">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5C7439" w:rsidRPr="004F5F2B" w:rsidRDefault="005C7439" w:rsidP="005C7439">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r w:rsidRPr="004F5F2B">
        <w:rPr>
          <w:rFonts w:ascii="Verdana" w:hAnsi="Verdana"/>
          <w:b/>
          <w:bCs/>
        </w:rPr>
        <w:t>SECTION TWO</w:t>
      </w:r>
    </w:p>
    <w:p w:rsidR="005C7439" w:rsidRPr="004F5F2B" w:rsidRDefault="005C7439" w:rsidP="005C7439">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5C7439" w:rsidRPr="004F5F2B" w:rsidRDefault="005C7439" w:rsidP="005C7439">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5C7439" w:rsidRPr="004F5F2B" w:rsidRDefault="00984137" w:rsidP="005C7439">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sz w:val="36"/>
          <w:szCs w:val="36"/>
        </w:rPr>
      </w:pPr>
      <w:r w:rsidRPr="004F5F2B">
        <w:rPr>
          <w:rFonts w:ascii="Verdana" w:hAnsi="Verdana"/>
          <w:b/>
          <w:bCs/>
          <w:sz w:val="36"/>
          <w:szCs w:val="36"/>
          <w:lang w:eastAsia="ar-SA"/>
        </w:rPr>
        <w:t>P</w:t>
      </w:r>
      <w:r w:rsidR="005C7439" w:rsidRPr="004F5F2B">
        <w:rPr>
          <w:rFonts w:ascii="Verdana" w:hAnsi="Verdana"/>
          <w:b/>
          <w:bCs/>
          <w:sz w:val="36"/>
          <w:szCs w:val="36"/>
          <w:lang w:eastAsia="ar-SA"/>
        </w:rPr>
        <w:t>riority axes</w:t>
      </w:r>
    </w:p>
    <w:p w:rsidR="005C7439" w:rsidRPr="004F5F2B" w:rsidRDefault="005C7439" w:rsidP="005C7439">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5C7439" w:rsidRPr="004F5F2B" w:rsidRDefault="005C7439" w:rsidP="005C7439">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5C7439" w:rsidRPr="004F5F2B" w:rsidRDefault="005C7439" w:rsidP="005C7439">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5C7439" w:rsidRPr="004F5F2B" w:rsidRDefault="006364B9" w:rsidP="005C7439">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iCs/>
          <w:lang w:eastAsia="ar-SA"/>
        </w:rPr>
      </w:pPr>
      <w:r w:rsidRPr="004F5F2B">
        <w:rPr>
          <w:rFonts w:ascii="Verdana" w:hAnsi="Verdana"/>
          <w:b/>
          <w:bCs/>
        </w:rPr>
        <w:t>2.A</w:t>
      </w:r>
      <w:r w:rsidR="00DC282F" w:rsidRPr="004F5F2B">
        <w:rPr>
          <w:rFonts w:ascii="Verdana" w:hAnsi="Verdana"/>
          <w:b/>
          <w:bCs/>
        </w:rPr>
        <w:tab/>
      </w:r>
      <w:r w:rsidR="00E62C08" w:rsidRPr="004F5F2B">
        <w:rPr>
          <w:rFonts w:ascii="Verdana" w:hAnsi="Verdana"/>
          <w:b/>
          <w:bCs/>
        </w:rPr>
        <w:t>P</w:t>
      </w:r>
      <w:r w:rsidRPr="004F5F2B">
        <w:rPr>
          <w:rFonts w:ascii="Verdana" w:hAnsi="Verdana"/>
          <w:b/>
          <w:bCs/>
        </w:rPr>
        <w:t>riority Ax</w:t>
      </w:r>
      <w:r w:rsidR="00DC282F" w:rsidRPr="004F5F2B">
        <w:rPr>
          <w:rFonts w:ascii="Verdana" w:hAnsi="Verdana"/>
          <w:b/>
          <w:bCs/>
        </w:rPr>
        <w:t>es</w:t>
      </w:r>
    </w:p>
    <w:p w:rsidR="005C7439" w:rsidRPr="004F5F2B" w:rsidRDefault="00DC282F" w:rsidP="005C7439">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r w:rsidRPr="004F5F2B">
        <w:rPr>
          <w:rFonts w:ascii="Verdana" w:hAnsi="Verdana"/>
          <w:b/>
          <w:bCs/>
        </w:rPr>
        <w:tab/>
        <w:t>2.A.1</w:t>
      </w:r>
      <w:r w:rsidRPr="004F5F2B">
        <w:rPr>
          <w:rFonts w:ascii="Verdana" w:hAnsi="Verdana"/>
          <w:b/>
          <w:bCs/>
        </w:rPr>
        <w:tab/>
      </w:r>
      <w:r w:rsidRPr="004F5F2B">
        <w:rPr>
          <w:rFonts w:ascii="Verdana" w:hAnsi="Verdana"/>
          <w:b/>
          <w:bCs/>
        </w:rPr>
        <w:tab/>
        <w:t>Priority Axis 1</w:t>
      </w:r>
    </w:p>
    <w:p w:rsidR="00DC282F" w:rsidRPr="004F5F2B" w:rsidRDefault="00DC282F" w:rsidP="005C7439">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r w:rsidRPr="004F5F2B">
        <w:rPr>
          <w:rFonts w:ascii="Verdana" w:hAnsi="Verdana"/>
          <w:b/>
          <w:bCs/>
        </w:rPr>
        <w:tab/>
        <w:t>2.A.2</w:t>
      </w:r>
      <w:r w:rsidRPr="004F5F2B">
        <w:rPr>
          <w:rFonts w:ascii="Verdana" w:hAnsi="Verdana"/>
          <w:b/>
          <w:bCs/>
        </w:rPr>
        <w:tab/>
      </w:r>
      <w:r w:rsidRPr="004F5F2B">
        <w:rPr>
          <w:rFonts w:ascii="Verdana" w:hAnsi="Verdana"/>
          <w:b/>
          <w:bCs/>
        </w:rPr>
        <w:tab/>
        <w:t>Specific Objectives</w:t>
      </w:r>
    </w:p>
    <w:p w:rsidR="00DC282F" w:rsidRPr="004F5F2B" w:rsidRDefault="00DC282F" w:rsidP="005C7439">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r w:rsidRPr="004F5F2B">
        <w:rPr>
          <w:rFonts w:ascii="Verdana" w:hAnsi="Verdana"/>
          <w:b/>
          <w:bCs/>
        </w:rPr>
        <w:tab/>
        <w:t>2.A.3</w:t>
      </w:r>
      <w:r w:rsidRPr="004F5F2B">
        <w:rPr>
          <w:rFonts w:ascii="Verdana" w:hAnsi="Verdana"/>
          <w:b/>
          <w:bCs/>
        </w:rPr>
        <w:tab/>
      </w:r>
      <w:r w:rsidRPr="004F5F2B">
        <w:rPr>
          <w:rFonts w:ascii="Verdana" w:hAnsi="Verdana"/>
          <w:b/>
          <w:bCs/>
        </w:rPr>
        <w:tab/>
        <w:t>Actions to be supported</w:t>
      </w:r>
    </w:p>
    <w:p w:rsidR="00DC282F" w:rsidRPr="004F5F2B" w:rsidRDefault="00DC282F" w:rsidP="005C7439">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r w:rsidRPr="004F5F2B">
        <w:rPr>
          <w:rFonts w:ascii="Verdana" w:hAnsi="Verdana"/>
          <w:b/>
          <w:bCs/>
        </w:rPr>
        <w:tab/>
        <w:t>2.A.4</w:t>
      </w:r>
      <w:r w:rsidRPr="004F5F2B">
        <w:rPr>
          <w:rFonts w:ascii="Verdana" w:hAnsi="Verdana"/>
          <w:b/>
          <w:bCs/>
        </w:rPr>
        <w:tab/>
      </w:r>
      <w:r w:rsidRPr="004F5F2B">
        <w:rPr>
          <w:rFonts w:ascii="Verdana" w:hAnsi="Verdana"/>
          <w:b/>
          <w:bCs/>
        </w:rPr>
        <w:tab/>
        <w:t>Performance Framework</w:t>
      </w:r>
    </w:p>
    <w:p w:rsidR="00DC282F" w:rsidRPr="004F5F2B" w:rsidRDefault="00DC282F" w:rsidP="005C7439">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r w:rsidRPr="004F5F2B">
        <w:rPr>
          <w:rFonts w:ascii="Verdana" w:hAnsi="Verdana"/>
          <w:b/>
          <w:bCs/>
        </w:rPr>
        <w:tab/>
        <w:t>2.A.5</w:t>
      </w:r>
      <w:r w:rsidRPr="004F5F2B">
        <w:rPr>
          <w:rFonts w:ascii="Verdana" w:hAnsi="Verdana"/>
          <w:b/>
          <w:bCs/>
        </w:rPr>
        <w:tab/>
      </w:r>
      <w:r w:rsidRPr="004F5F2B">
        <w:rPr>
          <w:rFonts w:ascii="Verdana" w:hAnsi="Verdana"/>
          <w:b/>
          <w:bCs/>
        </w:rPr>
        <w:tab/>
        <w:t>Categories of Intervention</w:t>
      </w:r>
    </w:p>
    <w:p w:rsidR="00DC282F" w:rsidRPr="004F5F2B" w:rsidRDefault="00DC282F" w:rsidP="005C7439">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5C7439" w:rsidRPr="004F5F2B" w:rsidRDefault="00E62C08" w:rsidP="005C7439">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r w:rsidRPr="004F5F2B">
        <w:rPr>
          <w:rFonts w:ascii="Verdana" w:hAnsi="Verdana"/>
          <w:b/>
          <w:bCs/>
        </w:rPr>
        <w:t>2.B</w:t>
      </w:r>
      <w:r w:rsidRPr="004F5F2B">
        <w:rPr>
          <w:rFonts w:ascii="Verdana" w:hAnsi="Verdana"/>
          <w:b/>
          <w:bCs/>
        </w:rPr>
        <w:tab/>
        <w:t>Technical Assistance</w:t>
      </w:r>
    </w:p>
    <w:p w:rsidR="00DC282F" w:rsidRPr="004F5F2B" w:rsidRDefault="00DC282F" w:rsidP="00DC282F">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r w:rsidRPr="004F5F2B">
        <w:rPr>
          <w:rFonts w:ascii="Verdana" w:hAnsi="Verdana"/>
          <w:b/>
          <w:bCs/>
        </w:rPr>
        <w:tab/>
        <w:t>2.B.1</w:t>
      </w:r>
      <w:r w:rsidRPr="004F5F2B">
        <w:rPr>
          <w:rFonts w:ascii="Verdana" w:hAnsi="Verdana"/>
          <w:b/>
          <w:bCs/>
        </w:rPr>
        <w:tab/>
      </w:r>
      <w:r w:rsidRPr="004F5F2B">
        <w:rPr>
          <w:rFonts w:ascii="Verdana" w:hAnsi="Verdana"/>
          <w:b/>
          <w:bCs/>
        </w:rPr>
        <w:tab/>
        <w:t>Specific Objectives and expected results</w:t>
      </w:r>
    </w:p>
    <w:p w:rsidR="00DC282F" w:rsidRPr="004F5F2B" w:rsidRDefault="00DC282F" w:rsidP="00DC282F">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r w:rsidRPr="004F5F2B">
        <w:rPr>
          <w:rFonts w:ascii="Verdana" w:hAnsi="Verdana"/>
          <w:b/>
          <w:bCs/>
        </w:rPr>
        <w:tab/>
        <w:t>2.B.2</w:t>
      </w:r>
      <w:r w:rsidRPr="004F5F2B">
        <w:rPr>
          <w:rFonts w:ascii="Verdana" w:hAnsi="Verdana"/>
          <w:b/>
          <w:bCs/>
        </w:rPr>
        <w:tab/>
      </w:r>
      <w:r w:rsidRPr="004F5F2B">
        <w:rPr>
          <w:rFonts w:ascii="Verdana" w:hAnsi="Verdana"/>
          <w:b/>
          <w:bCs/>
        </w:rPr>
        <w:tab/>
        <w:t>Result Indicators</w:t>
      </w:r>
    </w:p>
    <w:p w:rsidR="00DC282F" w:rsidRPr="004F5F2B" w:rsidRDefault="00DC282F" w:rsidP="00DC282F">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r w:rsidRPr="004F5F2B">
        <w:rPr>
          <w:rFonts w:ascii="Verdana" w:hAnsi="Verdana"/>
          <w:b/>
          <w:bCs/>
        </w:rPr>
        <w:tab/>
        <w:t>2.B.3</w:t>
      </w:r>
      <w:r w:rsidRPr="004F5F2B">
        <w:rPr>
          <w:rFonts w:ascii="Verdana" w:hAnsi="Verdana"/>
          <w:b/>
          <w:bCs/>
        </w:rPr>
        <w:tab/>
      </w:r>
      <w:r w:rsidRPr="004F5F2B">
        <w:rPr>
          <w:rFonts w:ascii="Verdana" w:hAnsi="Verdana"/>
          <w:b/>
          <w:bCs/>
        </w:rPr>
        <w:tab/>
        <w:t>Actions to be supported</w:t>
      </w:r>
    </w:p>
    <w:p w:rsidR="00DC282F" w:rsidRPr="004F5F2B" w:rsidRDefault="00DC282F" w:rsidP="00DC282F">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r w:rsidRPr="004F5F2B">
        <w:rPr>
          <w:rFonts w:ascii="Verdana" w:hAnsi="Verdana"/>
          <w:b/>
          <w:bCs/>
        </w:rPr>
        <w:tab/>
        <w:t>2.B.4</w:t>
      </w:r>
      <w:r w:rsidRPr="004F5F2B">
        <w:rPr>
          <w:rFonts w:ascii="Verdana" w:hAnsi="Verdana"/>
          <w:b/>
          <w:bCs/>
        </w:rPr>
        <w:tab/>
      </w:r>
      <w:r w:rsidRPr="004F5F2B">
        <w:rPr>
          <w:rFonts w:ascii="Verdana" w:hAnsi="Verdana"/>
          <w:b/>
          <w:bCs/>
        </w:rPr>
        <w:tab/>
        <w:t>Categories of Intervention</w:t>
      </w:r>
    </w:p>
    <w:p w:rsidR="005C7439" w:rsidRPr="004F5F2B" w:rsidRDefault="005C7439" w:rsidP="005C7439">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5C7439" w:rsidRPr="004F5F2B" w:rsidRDefault="005C7439" w:rsidP="005C7439">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5C7439" w:rsidRPr="004F5F2B" w:rsidRDefault="005C7439" w:rsidP="005C7439">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5C7439" w:rsidRPr="004F5F2B" w:rsidRDefault="005C7439" w:rsidP="005C7439">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5C7439" w:rsidRPr="004F5F2B" w:rsidRDefault="005C7439" w:rsidP="005C7439">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5C7439" w:rsidRPr="00CB6B70" w:rsidRDefault="005C7439" w:rsidP="00CB6B70"/>
    <w:p w:rsidR="005C7439" w:rsidRPr="004F5F2B" w:rsidRDefault="005C7439">
      <w:pPr>
        <w:spacing w:after="200" w:line="276" w:lineRule="auto"/>
        <w:rPr>
          <w:rFonts w:ascii="Verdana" w:eastAsia="Calibri" w:hAnsi="Verdana"/>
          <w:b/>
          <w:smallCaps/>
          <w:lang w:eastAsia="ar-SA"/>
        </w:rPr>
      </w:pPr>
      <w:r w:rsidRPr="004F5F2B">
        <w:rPr>
          <w:rFonts w:ascii="Verdana" w:hAnsi="Verdana"/>
          <w:bCs/>
          <w:lang w:eastAsia="ar-SA"/>
        </w:rPr>
        <w:br w:type="page"/>
      </w:r>
    </w:p>
    <w:p w:rsidR="00E21452" w:rsidRPr="004F5F2B" w:rsidRDefault="00E21452" w:rsidP="00A40420">
      <w:pPr>
        <w:pStyle w:val="StyleHeading1Hanging085cm"/>
      </w:pPr>
      <w:bookmarkStart w:id="11" w:name="_Toc384648436"/>
      <w:r w:rsidRPr="004F5F2B">
        <w:t>Section</w:t>
      </w:r>
      <w:r w:rsidR="00984137" w:rsidRPr="004F5F2B">
        <w:t xml:space="preserve"> 2.</w:t>
      </w:r>
      <w:r w:rsidR="00984137" w:rsidRPr="004F5F2B">
        <w:tab/>
        <w:t>P</w:t>
      </w:r>
      <w:r w:rsidRPr="004F5F2B">
        <w:t xml:space="preserve">riority axes </w:t>
      </w:r>
      <w:bookmarkEnd w:id="10"/>
      <w:r w:rsidRPr="004F5F2B">
        <w:t>(Article 7(2) ETC Regulation)</w:t>
      </w:r>
      <w:bookmarkEnd w:id="11"/>
    </w:p>
    <w:p w:rsidR="00D4641C" w:rsidRPr="00CB6B70" w:rsidRDefault="00D4641C" w:rsidP="00CB6B70"/>
    <w:p w:rsidR="00E21452" w:rsidRPr="004F5F2B" w:rsidRDefault="00D4641C" w:rsidP="00D4641C">
      <w:pPr>
        <w:pStyle w:val="2"/>
      </w:pPr>
      <w:bookmarkStart w:id="12" w:name="_Toc384648437"/>
      <w:bookmarkStart w:id="13" w:name="_Toc239760231"/>
      <w:r w:rsidRPr="004F5F2B">
        <w:t>2.A.</w:t>
      </w:r>
      <w:r w:rsidR="00984137" w:rsidRPr="004F5F2B">
        <w:t xml:space="preserve"> </w:t>
      </w:r>
      <w:r w:rsidR="00A97643">
        <w:tab/>
      </w:r>
      <w:r w:rsidR="00984137" w:rsidRPr="004F5F2B">
        <w:t>Description of Priority Axes</w:t>
      </w:r>
      <w:bookmarkEnd w:id="12"/>
    </w:p>
    <w:p w:rsidR="00E21452" w:rsidRPr="000E4076" w:rsidRDefault="00E21452" w:rsidP="00E21452">
      <w:pPr>
        <w:rPr>
          <w:rFonts w:ascii="Verdana" w:hAnsi="Verdana"/>
          <w:sz w:val="22"/>
          <w:szCs w:val="22"/>
        </w:rPr>
      </w:pPr>
    </w:p>
    <w:p w:rsidR="009F4C96" w:rsidRPr="000E4076" w:rsidRDefault="00E21452" w:rsidP="00E21452">
      <w:pPr>
        <w:ind w:right="254"/>
        <w:jc w:val="both"/>
        <w:rPr>
          <w:rFonts w:ascii="Verdana" w:hAnsi="Verdana"/>
          <w:color w:val="000000"/>
          <w:sz w:val="22"/>
          <w:szCs w:val="22"/>
        </w:rPr>
      </w:pPr>
      <w:r w:rsidRPr="000E4076">
        <w:rPr>
          <w:rFonts w:ascii="Verdana" w:hAnsi="Verdana"/>
          <w:iCs/>
          <w:sz w:val="22"/>
          <w:szCs w:val="22"/>
          <w:lang w:eastAsia="fr-BE"/>
        </w:rPr>
        <w:t>URBACT will operate under a unique and s</w:t>
      </w:r>
      <w:r w:rsidRPr="000E4076">
        <w:rPr>
          <w:rFonts w:ascii="Verdana" w:hAnsi="Verdana"/>
          <w:color w:val="000000"/>
          <w:sz w:val="22"/>
          <w:szCs w:val="22"/>
        </w:rPr>
        <w:t xml:space="preserve">pecific investment priority under thematic objective 11 (“Enhancing institutional capacity and efficient public administration”). </w:t>
      </w:r>
    </w:p>
    <w:p w:rsidR="009F4C96" w:rsidRPr="000E4076" w:rsidRDefault="009F4C96" w:rsidP="00E21452">
      <w:pPr>
        <w:ind w:right="254"/>
        <w:jc w:val="both"/>
        <w:rPr>
          <w:rFonts w:ascii="Verdana" w:hAnsi="Verdana"/>
          <w:color w:val="000000"/>
          <w:sz w:val="22"/>
          <w:szCs w:val="22"/>
        </w:rPr>
      </w:pPr>
    </w:p>
    <w:p w:rsidR="009F4C96" w:rsidRPr="000E4076" w:rsidRDefault="00E21452" w:rsidP="00E21452">
      <w:pPr>
        <w:ind w:right="254"/>
        <w:jc w:val="both"/>
        <w:rPr>
          <w:rFonts w:ascii="Verdana" w:hAnsi="Verdana"/>
          <w:b/>
          <w:sz w:val="22"/>
          <w:szCs w:val="22"/>
        </w:rPr>
      </w:pPr>
      <w:r w:rsidRPr="000E4076">
        <w:rPr>
          <w:rFonts w:ascii="Verdana" w:hAnsi="Verdana"/>
          <w:sz w:val="22"/>
          <w:szCs w:val="22"/>
        </w:rPr>
        <w:t>The URBACT III programme will cover all the 28 Member States of the European Union as well as two partner countries: Norway and Switzerland.</w:t>
      </w:r>
      <w:r w:rsidRPr="000E4076" w:rsidDel="00E30852">
        <w:rPr>
          <w:rFonts w:ascii="Verdana" w:hAnsi="Verdana"/>
          <w:b/>
          <w:sz w:val="22"/>
          <w:szCs w:val="22"/>
        </w:rPr>
        <w:t xml:space="preserve"> </w:t>
      </w:r>
    </w:p>
    <w:p w:rsidR="009F4C96" w:rsidRPr="000E4076" w:rsidRDefault="009F4C96" w:rsidP="00E21452">
      <w:pPr>
        <w:ind w:right="254"/>
        <w:jc w:val="both"/>
        <w:rPr>
          <w:rFonts w:ascii="Verdana" w:hAnsi="Verdana"/>
          <w:color w:val="000000"/>
          <w:sz w:val="22"/>
          <w:szCs w:val="22"/>
        </w:rPr>
      </w:pPr>
    </w:p>
    <w:p w:rsidR="00E21452" w:rsidRPr="000E4076" w:rsidRDefault="00E21452" w:rsidP="00E21452">
      <w:pPr>
        <w:rPr>
          <w:rFonts w:ascii="Verdana" w:hAnsi="Verdana"/>
          <w:sz w:val="22"/>
          <w:szCs w:val="22"/>
        </w:rPr>
      </w:pPr>
    </w:p>
    <w:p w:rsidR="00E21452" w:rsidRPr="004F5F2B" w:rsidRDefault="00E21452" w:rsidP="001F2159">
      <w:pPr>
        <w:pStyle w:val="2"/>
        <w:rPr>
          <w:b w:val="0"/>
        </w:rPr>
      </w:pPr>
      <w:bookmarkStart w:id="14" w:name="_Toc384648438"/>
      <w:r w:rsidRPr="004F5F2B">
        <w:t>2.A.1</w:t>
      </w:r>
      <w:r w:rsidR="00944A9C" w:rsidRPr="004F5F2B">
        <w:t>.</w:t>
      </w:r>
      <w:bookmarkEnd w:id="13"/>
      <w:r w:rsidR="00944A9C" w:rsidRPr="004F5F2B">
        <w:rPr>
          <w:b w:val="0"/>
        </w:rPr>
        <w:t xml:space="preserve"> </w:t>
      </w:r>
      <w:r w:rsidR="00A97643">
        <w:rPr>
          <w:b w:val="0"/>
        </w:rPr>
        <w:tab/>
      </w:r>
      <w:r w:rsidRPr="004F5F2B">
        <w:t>Priority Axis 1</w:t>
      </w:r>
      <w:bookmarkEnd w:id="14"/>
      <w:r w:rsidRPr="004F5F2B">
        <w:rPr>
          <w:b w:val="0"/>
        </w:rPr>
        <w:t xml:space="preserve"> </w:t>
      </w:r>
    </w:p>
    <w:p w:rsidR="00E21452" w:rsidRPr="004F5F2B" w:rsidRDefault="00E21452" w:rsidP="00E21452">
      <w:pPr>
        <w:ind w:right="254"/>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961"/>
      </w:tblGrid>
      <w:tr w:rsidR="00E21452" w:rsidRPr="000E4076" w:rsidTr="005C7439">
        <w:tc>
          <w:tcPr>
            <w:tcW w:w="3936" w:type="dxa"/>
          </w:tcPr>
          <w:p w:rsidR="00E21452" w:rsidRPr="000E4076" w:rsidRDefault="00E21452" w:rsidP="00E21452">
            <w:pPr>
              <w:ind w:right="254"/>
              <w:rPr>
                <w:rFonts w:ascii="Verdana" w:hAnsi="Verdana"/>
                <w:sz w:val="22"/>
                <w:szCs w:val="22"/>
              </w:rPr>
            </w:pPr>
            <w:r w:rsidRPr="000E4076">
              <w:rPr>
                <w:rFonts w:ascii="Verdana" w:hAnsi="Verdana"/>
                <w:sz w:val="22"/>
                <w:szCs w:val="22"/>
              </w:rPr>
              <w:t>ID</w:t>
            </w:r>
          </w:p>
        </w:tc>
        <w:tc>
          <w:tcPr>
            <w:tcW w:w="4961" w:type="dxa"/>
          </w:tcPr>
          <w:p w:rsidR="00E21452" w:rsidRPr="000E4076" w:rsidRDefault="00E21452" w:rsidP="00E21452">
            <w:pPr>
              <w:ind w:right="254"/>
              <w:rPr>
                <w:rFonts w:ascii="Verdana" w:hAnsi="Verdana"/>
                <w:sz w:val="22"/>
                <w:szCs w:val="22"/>
              </w:rPr>
            </w:pPr>
          </w:p>
        </w:tc>
      </w:tr>
      <w:tr w:rsidR="00E21452" w:rsidRPr="000E4076" w:rsidTr="005C7439">
        <w:tc>
          <w:tcPr>
            <w:tcW w:w="3936" w:type="dxa"/>
          </w:tcPr>
          <w:p w:rsidR="00E21452" w:rsidRPr="000E4076" w:rsidRDefault="00E21452" w:rsidP="00E21452">
            <w:pPr>
              <w:ind w:right="254"/>
              <w:rPr>
                <w:rFonts w:ascii="Verdana" w:hAnsi="Verdana"/>
                <w:b/>
                <w:sz w:val="22"/>
                <w:szCs w:val="22"/>
              </w:rPr>
            </w:pPr>
            <w:r w:rsidRPr="000E4076">
              <w:rPr>
                <w:rFonts w:ascii="Verdana" w:hAnsi="Verdana"/>
                <w:b/>
                <w:sz w:val="22"/>
                <w:szCs w:val="22"/>
              </w:rPr>
              <w:t>Title</w:t>
            </w:r>
          </w:p>
        </w:tc>
        <w:tc>
          <w:tcPr>
            <w:tcW w:w="4961" w:type="dxa"/>
          </w:tcPr>
          <w:p w:rsidR="00E21452" w:rsidRPr="000E4076" w:rsidRDefault="00E21452" w:rsidP="00E21452">
            <w:pPr>
              <w:ind w:right="254"/>
              <w:rPr>
                <w:rFonts w:ascii="Verdana" w:hAnsi="Verdana"/>
                <w:b/>
                <w:sz w:val="22"/>
                <w:szCs w:val="22"/>
              </w:rPr>
            </w:pPr>
            <w:r w:rsidRPr="000E4076">
              <w:rPr>
                <w:rFonts w:ascii="Verdana" w:hAnsi="Verdana"/>
                <w:b/>
                <w:sz w:val="22"/>
                <w:szCs w:val="22"/>
              </w:rPr>
              <w:t>Fostering Sustainable Urban Development</w:t>
            </w:r>
          </w:p>
        </w:tc>
      </w:tr>
    </w:tbl>
    <w:p w:rsidR="00E21452" w:rsidRPr="000E4076" w:rsidRDefault="00E21452" w:rsidP="00E21452">
      <w:pPr>
        <w:ind w:right="254"/>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961"/>
      </w:tblGrid>
      <w:tr w:rsidR="00E21452" w:rsidRPr="000E4076" w:rsidTr="005C7439">
        <w:tc>
          <w:tcPr>
            <w:tcW w:w="3936" w:type="dxa"/>
          </w:tcPr>
          <w:p w:rsidR="00E21452" w:rsidRPr="000E4076" w:rsidRDefault="00E21452" w:rsidP="00E21452">
            <w:pPr>
              <w:ind w:right="254"/>
              <w:rPr>
                <w:rFonts w:ascii="Verdana" w:hAnsi="Verdana"/>
                <w:b/>
                <w:sz w:val="22"/>
                <w:szCs w:val="22"/>
              </w:rPr>
            </w:pPr>
            <w:r w:rsidRPr="000E4076">
              <w:rPr>
                <w:rFonts w:ascii="Verdana" w:hAnsi="Verdana"/>
                <w:b/>
                <w:sz w:val="22"/>
                <w:szCs w:val="22"/>
              </w:rPr>
              <w:t>FUND</w:t>
            </w:r>
          </w:p>
        </w:tc>
        <w:tc>
          <w:tcPr>
            <w:tcW w:w="4961" w:type="dxa"/>
          </w:tcPr>
          <w:p w:rsidR="00E21452" w:rsidRPr="000E4076" w:rsidRDefault="00E21452" w:rsidP="00E21452">
            <w:pPr>
              <w:ind w:right="254"/>
              <w:rPr>
                <w:rFonts w:ascii="Verdana" w:hAnsi="Verdana"/>
                <w:b/>
                <w:sz w:val="22"/>
                <w:szCs w:val="22"/>
              </w:rPr>
            </w:pPr>
            <w:r w:rsidRPr="000E4076">
              <w:rPr>
                <w:rFonts w:ascii="Verdana" w:hAnsi="Verdana"/>
                <w:b/>
                <w:sz w:val="22"/>
                <w:szCs w:val="22"/>
              </w:rPr>
              <w:t>European Regional Development Fund</w:t>
            </w:r>
          </w:p>
        </w:tc>
      </w:tr>
    </w:tbl>
    <w:p w:rsidR="00E21452" w:rsidRPr="000E4076" w:rsidRDefault="00E21452" w:rsidP="00E21452">
      <w:pPr>
        <w:ind w:right="254"/>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961"/>
      </w:tblGrid>
      <w:tr w:rsidR="00E21452" w:rsidRPr="000E4076" w:rsidTr="005C7439">
        <w:tc>
          <w:tcPr>
            <w:tcW w:w="3936" w:type="dxa"/>
          </w:tcPr>
          <w:p w:rsidR="00E21452" w:rsidRPr="000E4076" w:rsidRDefault="00E21452" w:rsidP="00E21452">
            <w:pPr>
              <w:ind w:right="254"/>
              <w:rPr>
                <w:rFonts w:ascii="Verdana" w:hAnsi="Verdana"/>
                <w:b/>
                <w:sz w:val="22"/>
                <w:szCs w:val="22"/>
              </w:rPr>
            </w:pPr>
            <w:r w:rsidRPr="000E4076">
              <w:rPr>
                <w:rFonts w:ascii="Verdana" w:hAnsi="Verdana"/>
                <w:b/>
                <w:sz w:val="22"/>
                <w:szCs w:val="22"/>
              </w:rPr>
              <w:t>INVESTMENT PRIORITY</w:t>
            </w:r>
          </w:p>
        </w:tc>
        <w:tc>
          <w:tcPr>
            <w:tcW w:w="4961" w:type="dxa"/>
          </w:tcPr>
          <w:p w:rsidR="00E21452" w:rsidRPr="000E4076" w:rsidRDefault="00E21452" w:rsidP="00E21452">
            <w:pPr>
              <w:ind w:right="254"/>
              <w:rPr>
                <w:rFonts w:ascii="Verdana" w:hAnsi="Verdana"/>
                <w:b/>
                <w:sz w:val="22"/>
                <w:szCs w:val="22"/>
              </w:rPr>
            </w:pPr>
            <w:r w:rsidRPr="000E4076">
              <w:rPr>
                <w:rFonts w:ascii="Verdana" w:hAnsi="Verdana"/>
                <w:b/>
                <w:sz w:val="22"/>
                <w:szCs w:val="22"/>
              </w:rPr>
              <w:t>Thematic Objective 11</w:t>
            </w:r>
          </w:p>
        </w:tc>
      </w:tr>
    </w:tbl>
    <w:p w:rsidR="00E21452" w:rsidRPr="000E4076" w:rsidRDefault="00E21452" w:rsidP="00E21452">
      <w:pPr>
        <w:ind w:right="254"/>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961"/>
      </w:tblGrid>
      <w:tr w:rsidR="00E21452" w:rsidRPr="000E4076" w:rsidTr="005C7439">
        <w:tc>
          <w:tcPr>
            <w:tcW w:w="3936" w:type="dxa"/>
          </w:tcPr>
          <w:p w:rsidR="00E21452" w:rsidRPr="000E4076" w:rsidRDefault="00364438" w:rsidP="00E21452">
            <w:pPr>
              <w:ind w:right="254"/>
              <w:rPr>
                <w:rFonts w:ascii="Verdana" w:hAnsi="Verdana"/>
                <w:b/>
                <w:sz w:val="22"/>
                <w:szCs w:val="22"/>
              </w:rPr>
            </w:pPr>
            <w:r w:rsidRPr="000E4076">
              <w:rPr>
                <w:rFonts w:ascii="Verdana" w:hAnsi="Verdana"/>
                <w:b/>
                <w:sz w:val="22"/>
                <w:szCs w:val="22"/>
              </w:rPr>
              <w:t>CALCULATION BASIS FOR UNION SUPPORT</w:t>
            </w:r>
          </w:p>
        </w:tc>
        <w:tc>
          <w:tcPr>
            <w:tcW w:w="4961" w:type="dxa"/>
          </w:tcPr>
          <w:p w:rsidR="00E21452" w:rsidRPr="000E4076" w:rsidRDefault="00E21452" w:rsidP="00E21452">
            <w:pPr>
              <w:ind w:right="254"/>
              <w:rPr>
                <w:rFonts w:ascii="Verdana" w:hAnsi="Verdana"/>
                <w:b/>
                <w:sz w:val="22"/>
                <w:szCs w:val="22"/>
              </w:rPr>
            </w:pPr>
            <w:r w:rsidRPr="000E4076">
              <w:rPr>
                <w:rFonts w:ascii="Verdana" w:hAnsi="Verdana"/>
                <w:b/>
                <w:sz w:val="22"/>
                <w:szCs w:val="22"/>
              </w:rPr>
              <w:t>Total eligible cost</w:t>
            </w:r>
          </w:p>
        </w:tc>
      </w:tr>
    </w:tbl>
    <w:p w:rsidR="00E21452" w:rsidRPr="004F5F2B" w:rsidRDefault="00E21452" w:rsidP="00E21452">
      <w:pPr>
        <w:spacing w:after="160" w:line="259" w:lineRule="auto"/>
        <w:rPr>
          <w:rFonts w:ascii="Verdana" w:hAnsi="Verdana"/>
          <w:b/>
        </w:rPr>
      </w:pPr>
    </w:p>
    <w:p w:rsidR="00E21452" w:rsidRPr="004F5F2B" w:rsidRDefault="00944A9C" w:rsidP="001F2159">
      <w:pPr>
        <w:pStyle w:val="2"/>
      </w:pPr>
      <w:bookmarkStart w:id="15" w:name="_Toc384648439"/>
      <w:r w:rsidRPr="004F5F2B">
        <w:t>2.</w:t>
      </w:r>
      <w:r w:rsidR="00E21452" w:rsidRPr="004F5F2B">
        <w:t>A.</w:t>
      </w:r>
      <w:r w:rsidR="006364B9" w:rsidRPr="004F5F2B">
        <w:t>2</w:t>
      </w:r>
      <w:r w:rsidR="00E21452" w:rsidRPr="004F5F2B">
        <w:t xml:space="preserve"> </w:t>
      </w:r>
      <w:r w:rsidR="00A97643">
        <w:tab/>
      </w:r>
      <w:r w:rsidR="00E21452" w:rsidRPr="004F5F2B">
        <w:t>Specific objectives corresponding to the investment priority and expected results – Article 7 (2) (b) (i)-(ii) ETC Regulation</w:t>
      </w:r>
      <w:bookmarkEnd w:id="15"/>
    </w:p>
    <w:p w:rsidR="00E21452" w:rsidRPr="000E4076" w:rsidRDefault="00E21452" w:rsidP="00E21452">
      <w:pPr>
        <w:ind w:right="254"/>
        <w:rPr>
          <w:rFonts w:ascii="Verdana" w:hAnsi="Verdana"/>
          <w:b/>
          <w:sz w:val="22"/>
          <w:szCs w:val="22"/>
        </w:rPr>
      </w:pPr>
    </w:p>
    <w:p w:rsidR="00E21452" w:rsidRPr="000E4076" w:rsidRDefault="00E21452" w:rsidP="00312A5F">
      <w:pPr>
        <w:spacing w:after="120" w:line="276" w:lineRule="auto"/>
        <w:ind w:right="254"/>
        <w:jc w:val="both"/>
        <w:rPr>
          <w:rFonts w:ascii="Verdana" w:hAnsi="Verdana" w:cs="Arial"/>
          <w:b/>
          <w:sz w:val="22"/>
          <w:szCs w:val="22"/>
        </w:rPr>
      </w:pPr>
      <w:r w:rsidRPr="00135F1C">
        <w:rPr>
          <w:rFonts w:ascii="Verdana" w:hAnsi="Verdana"/>
          <w:b/>
          <w:sz w:val="22"/>
          <w:szCs w:val="22"/>
          <w:u w:val="single"/>
        </w:rPr>
        <w:t>Specific Objective 1</w:t>
      </w:r>
      <w:r w:rsidRPr="000E4076">
        <w:rPr>
          <w:rFonts w:ascii="Verdana" w:hAnsi="Verdana"/>
          <w:b/>
          <w:sz w:val="22"/>
          <w:szCs w:val="22"/>
        </w:rPr>
        <w:t xml:space="preserve">: </w:t>
      </w:r>
      <w:r w:rsidRPr="000E4076">
        <w:rPr>
          <w:rFonts w:ascii="Verdana" w:hAnsi="Verdana" w:cs="Arial"/>
          <w:sz w:val="22"/>
          <w:szCs w:val="22"/>
        </w:rPr>
        <w:t>To improve the capacity of cities to manage sustainable urban policies and practices in an integrated and participative way</w:t>
      </w:r>
    </w:p>
    <w:p w:rsidR="00E21452" w:rsidRPr="000E4076" w:rsidRDefault="00E21452" w:rsidP="00312A5F">
      <w:pPr>
        <w:spacing w:after="120" w:line="276" w:lineRule="auto"/>
        <w:jc w:val="both"/>
        <w:rPr>
          <w:rFonts w:ascii="Verdana" w:hAnsi="Verdana"/>
          <w:i/>
          <w:sz w:val="22"/>
          <w:szCs w:val="22"/>
        </w:rPr>
      </w:pPr>
      <w:r w:rsidRPr="000E4076">
        <w:rPr>
          <w:rFonts w:ascii="Verdana" w:hAnsi="Verdana" w:cs="Arial"/>
          <w:b/>
          <w:sz w:val="22"/>
          <w:szCs w:val="22"/>
        </w:rPr>
        <w:t xml:space="preserve">Expected results: </w:t>
      </w:r>
      <w:r w:rsidRPr="000E4076">
        <w:rPr>
          <w:rFonts w:ascii="Verdana" w:hAnsi="Verdana" w:cs="Arial"/>
          <w:sz w:val="22"/>
          <w:szCs w:val="22"/>
        </w:rPr>
        <w:t>Urban practitioners in</w:t>
      </w:r>
      <w:r w:rsidRPr="000E4076">
        <w:rPr>
          <w:rFonts w:ascii="Verdana" w:hAnsi="Verdana" w:cs="Arial"/>
          <w:b/>
          <w:sz w:val="22"/>
          <w:szCs w:val="22"/>
        </w:rPr>
        <w:t xml:space="preserve"> </w:t>
      </w:r>
      <w:r w:rsidR="009F4C96" w:rsidRPr="000E4076">
        <w:rPr>
          <w:rFonts w:ascii="Verdana" w:hAnsi="Verdana" w:cs="Arial"/>
          <w:sz w:val="22"/>
          <w:szCs w:val="22"/>
        </w:rPr>
        <w:t>c</w:t>
      </w:r>
      <w:r w:rsidRPr="000E4076">
        <w:rPr>
          <w:rFonts w:ascii="Verdana" w:hAnsi="Verdana"/>
          <w:sz w:val="22"/>
          <w:szCs w:val="22"/>
        </w:rPr>
        <w:t xml:space="preserve">ities have increased their knowledge and capacity in relation to integrated approaches to sustainable urban development; they are more able to respond to changing circumstances, working with all stakeholders, using new organisational models and tools. </w:t>
      </w:r>
    </w:p>
    <w:p w:rsidR="00E21452" w:rsidRPr="000E4076" w:rsidRDefault="00E21452" w:rsidP="00312A5F">
      <w:pPr>
        <w:spacing w:after="120" w:line="276" w:lineRule="auto"/>
        <w:jc w:val="both"/>
        <w:rPr>
          <w:rFonts w:ascii="Verdana" w:hAnsi="Verdana"/>
          <w:sz w:val="22"/>
          <w:szCs w:val="22"/>
        </w:rPr>
      </w:pPr>
      <w:r w:rsidRPr="000E4076">
        <w:rPr>
          <w:rFonts w:ascii="Verdana" w:hAnsi="Verdana"/>
          <w:sz w:val="22"/>
          <w:szCs w:val="22"/>
        </w:rPr>
        <w:t xml:space="preserve">This specific objective has </w:t>
      </w:r>
      <w:r w:rsidR="009F4C96" w:rsidRPr="000E4076">
        <w:rPr>
          <w:rFonts w:ascii="Verdana" w:hAnsi="Verdana"/>
          <w:sz w:val="22"/>
          <w:szCs w:val="22"/>
        </w:rPr>
        <w:t xml:space="preserve">one </w:t>
      </w:r>
      <w:r w:rsidRPr="000E4076">
        <w:rPr>
          <w:rFonts w:ascii="Verdana" w:hAnsi="Verdana"/>
          <w:sz w:val="22"/>
          <w:szCs w:val="22"/>
        </w:rPr>
        <w:t>result indicator:</w:t>
      </w:r>
    </w:p>
    <w:p w:rsidR="00E73A82" w:rsidRPr="000E4076" w:rsidRDefault="002E5CA7" w:rsidP="00312A5F">
      <w:pPr>
        <w:pStyle w:val="Paragraphedeliste3"/>
        <w:spacing w:after="120"/>
        <w:ind w:right="254"/>
        <w:contextualSpacing w:val="0"/>
        <w:jc w:val="both"/>
        <w:rPr>
          <w:rFonts w:ascii="Verdana" w:hAnsi="Verdana" w:cs="Arial"/>
        </w:rPr>
      </w:pPr>
      <w:r w:rsidRPr="000E4076">
        <w:rPr>
          <w:rFonts w:ascii="Verdana" w:hAnsi="Verdana" w:cs="Arial"/>
        </w:rPr>
        <w:t xml:space="preserve">Participants in URBACT capacity-building activities who have increased their capacity in relation to integrated and participatory action-planning, working across departments and with relevant stakeholders, and project management in the field of sustainable urban development. </w:t>
      </w:r>
    </w:p>
    <w:p w:rsidR="00E21452" w:rsidRPr="000E4076" w:rsidRDefault="00E21452" w:rsidP="00312A5F">
      <w:pPr>
        <w:spacing w:after="120" w:line="276" w:lineRule="auto"/>
        <w:jc w:val="both"/>
        <w:rPr>
          <w:rFonts w:ascii="Verdana" w:hAnsi="Verdana"/>
          <w:sz w:val="22"/>
          <w:szCs w:val="22"/>
        </w:rPr>
      </w:pPr>
      <w:r w:rsidRPr="000E4076">
        <w:rPr>
          <w:rFonts w:ascii="Verdana" w:hAnsi="Verdana"/>
          <w:sz w:val="22"/>
          <w:szCs w:val="22"/>
        </w:rPr>
        <w:t xml:space="preserve">The URBACT learning process implemented through transnational exchange activities in the three types of networks </w:t>
      </w:r>
      <w:r w:rsidR="009F4C96" w:rsidRPr="000E4076">
        <w:rPr>
          <w:rFonts w:ascii="Verdana" w:hAnsi="Verdana"/>
          <w:sz w:val="22"/>
          <w:szCs w:val="22"/>
        </w:rPr>
        <w:t xml:space="preserve">will be </w:t>
      </w:r>
      <w:r w:rsidRPr="000E4076">
        <w:rPr>
          <w:rFonts w:ascii="Verdana" w:hAnsi="Verdana"/>
          <w:sz w:val="22"/>
          <w:szCs w:val="22"/>
        </w:rPr>
        <w:t>complemented by capacity</w:t>
      </w:r>
      <w:r w:rsidR="009F4C96" w:rsidRPr="000E4076">
        <w:rPr>
          <w:rFonts w:ascii="Verdana" w:hAnsi="Verdana"/>
          <w:sz w:val="22"/>
          <w:szCs w:val="22"/>
        </w:rPr>
        <w:t>-</w:t>
      </w:r>
      <w:r w:rsidRPr="000E4076">
        <w:rPr>
          <w:rFonts w:ascii="Verdana" w:hAnsi="Verdana"/>
          <w:sz w:val="22"/>
          <w:szCs w:val="22"/>
        </w:rPr>
        <w:t>building</w:t>
      </w:r>
      <w:r w:rsidR="004B5EB8" w:rsidRPr="000E4076">
        <w:rPr>
          <w:rFonts w:ascii="Verdana" w:hAnsi="Verdana"/>
          <w:sz w:val="22"/>
          <w:szCs w:val="22"/>
        </w:rPr>
        <w:t xml:space="preserve"> </w:t>
      </w:r>
      <w:r w:rsidR="009F4C96" w:rsidRPr="000E4076">
        <w:rPr>
          <w:rFonts w:ascii="Verdana" w:hAnsi="Verdana"/>
          <w:sz w:val="22"/>
          <w:szCs w:val="22"/>
        </w:rPr>
        <w:t>actions</w:t>
      </w:r>
      <w:r w:rsidRPr="000E4076">
        <w:rPr>
          <w:rFonts w:ascii="Verdana" w:hAnsi="Verdana"/>
          <w:sz w:val="22"/>
          <w:szCs w:val="22"/>
        </w:rPr>
        <w:t>. Stakeholders at all levels (elected people, practitioners, members of local groups) can work together to increase their knowledge and capacity resulting in an improvement in the individual and collective ability to deliver integrated and sustainable urban development policies in cities.</w:t>
      </w:r>
    </w:p>
    <w:p w:rsidR="00E21452" w:rsidRPr="000E4076" w:rsidRDefault="00E21452" w:rsidP="00312A5F">
      <w:pPr>
        <w:spacing w:after="120" w:line="276" w:lineRule="auto"/>
        <w:rPr>
          <w:rFonts w:ascii="Verdana" w:hAnsi="Verdana"/>
          <w:sz w:val="22"/>
          <w:szCs w:val="22"/>
        </w:rPr>
      </w:pPr>
      <w:r w:rsidRPr="000E4076">
        <w:rPr>
          <w:rFonts w:ascii="Verdana" w:hAnsi="Verdana"/>
          <w:sz w:val="22"/>
          <w:szCs w:val="22"/>
        </w:rPr>
        <w:t>The activities proposed are presented in detail in section 2.A.2.</w:t>
      </w:r>
    </w:p>
    <w:p w:rsidR="00E21452" w:rsidRPr="000E4076" w:rsidRDefault="00E21452" w:rsidP="00312A5F">
      <w:pPr>
        <w:spacing w:after="120" w:line="276" w:lineRule="auto"/>
        <w:ind w:right="254"/>
        <w:rPr>
          <w:rFonts w:ascii="Verdana" w:hAnsi="Verdana"/>
          <w:b/>
          <w:sz w:val="22"/>
          <w:szCs w:val="22"/>
        </w:rPr>
      </w:pPr>
    </w:p>
    <w:p w:rsidR="00E21452" w:rsidRPr="000E4076" w:rsidRDefault="00E21452" w:rsidP="00312A5F">
      <w:pPr>
        <w:spacing w:after="120" w:line="276" w:lineRule="auto"/>
        <w:ind w:right="254"/>
        <w:jc w:val="both"/>
        <w:rPr>
          <w:rFonts w:ascii="Verdana" w:hAnsi="Verdana"/>
          <w:b/>
          <w:sz w:val="22"/>
          <w:szCs w:val="22"/>
        </w:rPr>
      </w:pPr>
      <w:r w:rsidRPr="00135F1C">
        <w:rPr>
          <w:rFonts w:ascii="Verdana" w:hAnsi="Verdana"/>
          <w:b/>
          <w:sz w:val="22"/>
          <w:szCs w:val="22"/>
          <w:u w:val="single"/>
        </w:rPr>
        <w:t>Specific Objective 2</w:t>
      </w:r>
      <w:r w:rsidRPr="000E4076">
        <w:rPr>
          <w:rFonts w:ascii="Verdana" w:hAnsi="Verdana"/>
          <w:b/>
          <w:sz w:val="22"/>
          <w:szCs w:val="22"/>
        </w:rPr>
        <w:t xml:space="preserve">: </w:t>
      </w:r>
      <w:r w:rsidRPr="000E4076">
        <w:rPr>
          <w:rFonts w:ascii="Verdana" w:hAnsi="Verdana" w:cs="Arial"/>
          <w:sz w:val="22"/>
          <w:szCs w:val="22"/>
        </w:rPr>
        <w:t xml:space="preserve">To improve the design of sustainable urban </w:t>
      </w:r>
      <w:r w:rsidR="002A1E5A" w:rsidRPr="000E4076">
        <w:rPr>
          <w:rFonts w:ascii="Verdana" w:hAnsi="Verdana" w:cs="Arial"/>
          <w:sz w:val="22"/>
          <w:szCs w:val="22"/>
        </w:rPr>
        <w:t xml:space="preserve">strategies and action plans </w:t>
      </w:r>
      <w:r w:rsidRPr="000E4076">
        <w:rPr>
          <w:rFonts w:ascii="Verdana" w:hAnsi="Verdana" w:cs="Arial"/>
          <w:sz w:val="22"/>
          <w:szCs w:val="22"/>
        </w:rPr>
        <w:t>in cities</w:t>
      </w:r>
      <w:r w:rsidR="002A1E5A" w:rsidRPr="000E4076">
        <w:rPr>
          <w:rFonts w:ascii="Verdana" w:hAnsi="Verdana" w:cs="Arial"/>
          <w:sz w:val="22"/>
          <w:szCs w:val="22"/>
        </w:rPr>
        <w:t>.</w:t>
      </w:r>
    </w:p>
    <w:p w:rsidR="00E21452" w:rsidRPr="000E4076" w:rsidRDefault="00E21452" w:rsidP="00312A5F">
      <w:pPr>
        <w:spacing w:after="120" w:line="276" w:lineRule="auto"/>
        <w:ind w:right="254"/>
        <w:jc w:val="both"/>
        <w:rPr>
          <w:rFonts w:ascii="Verdana" w:hAnsi="Verdana" w:cs="Arial"/>
          <w:sz w:val="22"/>
          <w:szCs w:val="22"/>
        </w:rPr>
      </w:pPr>
      <w:r w:rsidRPr="000E4076">
        <w:rPr>
          <w:rFonts w:ascii="Verdana" w:hAnsi="Verdana" w:cs="Arial"/>
          <w:b/>
          <w:sz w:val="22"/>
          <w:szCs w:val="22"/>
        </w:rPr>
        <w:t xml:space="preserve">Expected results: </w:t>
      </w:r>
      <w:r w:rsidRPr="000E4076">
        <w:rPr>
          <w:rFonts w:ascii="Verdana" w:hAnsi="Verdana" w:cs="Arial"/>
          <w:sz w:val="22"/>
          <w:szCs w:val="22"/>
        </w:rPr>
        <w:t>Cities have designed integrated strategies and action plans for sustainable urban development drawing on EU good practice.</w:t>
      </w:r>
    </w:p>
    <w:p w:rsidR="00E21452" w:rsidRPr="000E4076" w:rsidRDefault="00E21452" w:rsidP="00312A5F">
      <w:pPr>
        <w:spacing w:after="120" w:line="276" w:lineRule="auto"/>
        <w:jc w:val="both"/>
        <w:rPr>
          <w:rFonts w:ascii="Verdana" w:hAnsi="Verdana"/>
          <w:sz w:val="22"/>
          <w:szCs w:val="22"/>
        </w:rPr>
      </w:pPr>
      <w:r w:rsidRPr="000E4076">
        <w:rPr>
          <w:rFonts w:ascii="Verdana" w:hAnsi="Verdana"/>
          <w:sz w:val="22"/>
          <w:szCs w:val="22"/>
        </w:rPr>
        <w:t xml:space="preserve">This specific objective has </w:t>
      </w:r>
      <w:r w:rsidR="002E71E0">
        <w:rPr>
          <w:rFonts w:ascii="Verdana" w:hAnsi="Verdana"/>
          <w:sz w:val="22"/>
          <w:szCs w:val="22"/>
        </w:rPr>
        <w:t>one</w:t>
      </w:r>
      <w:r w:rsidRPr="000E4076">
        <w:rPr>
          <w:rFonts w:ascii="Verdana" w:hAnsi="Verdana"/>
          <w:sz w:val="22"/>
          <w:szCs w:val="22"/>
        </w:rPr>
        <w:t xml:space="preserve"> result indicator:</w:t>
      </w:r>
    </w:p>
    <w:p w:rsidR="00E21452" w:rsidRPr="000E4076" w:rsidRDefault="00E21452" w:rsidP="002E71E0">
      <w:pPr>
        <w:pStyle w:val="Paragraphedeliste3"/>
        <w:spacing w:after="120"/>
        <w:ind w:left="924" w:right="255"/>
        <w:contextualSpacing w:val="0"/>
        <w:jc w:val="both"/>
        <w:rPr>
          <w:rFonts w:ascii="Verdana" w:hAnsi="Verdana" w:cs="Arial"/>
        </w:rPr>
      </w:pPr>
      <w:r w:rsidRPr="000E4076">
        <w:rPr>
          <w:rFonts w:ascii="Verdana" w:hAnsi="Verdana" w:cs="Arial"/>
        </w:rPr>
        <w:t>Number of integrated strategies and action plans produced with the URBACT method</w:t>
      </w:r>
    </w:p>
    <w:p w:rsidR="00E21452" w:rsidRPr="000E4076" w:rsidRDefault="00E21452" w:rsidP="00312A5F">
      <w:pPr>
        <w:spacing w:after="120" w:line="276" w:lineRule="auto"/>
        <w:ind w:right="254"/>
        <w:jc w:val="both"/>
        <w:rPr>
          <w:rFonts w:ascii="Verdana" w:hAnsi="Verdana"/>
          <w:sz w:val="22"/>
          <w:szCs w:val="22"/>
        </w:rPr>
      </w:pPr>
      <w:r w:rsidRPr="000E4076">
        <w:rPr>
          <w:rFonts w:ascii="Verdana" w:hAnsi="Verdana"/>
          <w:sz w:val="22"/>
          <w:szCs w:val="22"/>
        </w:rPr>
        <w:t>Due to the complexity of challenges facing urban areas, cities have to prepare their strategies and action</w:t>
      </w:r>
      <w:r w:rsidR="007735F9" w:rsidRPr="000E4076">
        <w:rPr>
          <w:rFonts w:ascii="Verdana" w:hAnsi="Verdana"/>
          <w:sz w:val="22"/>
          <w:szCs w:val="22"/>
        </w:rPr>
        <w:t xml:space="preserve"> plan</w:t>
      </w:r>
      <w:r w:rsidRPr="000E4076">
        <w:rPr>
          <w:rFonts w:ascii="Verdana" w:hAnsi="Verdana"/>
          <w:sz w:val="22"/>
          <w:szCs w:val="22"/>
        </w:rPr>
        <w:t xml:space="preserve">s in an integrated and sustainable way. There is a need for a horizontal and vertical integration of policies involving </w:t>
      </w:r>
      <w:r w:rsidR="007735F9" w:rsidRPr="000E4076">
        <w:rPr>
          <w:rFonts w:ascii="Verdana" w:hAnsi="Verdana"/>
          <w:sz w:val="22"/>
          <w:szCs w:val="22"/>
        </w:rPr>
        <w:t xml:space="preserve">a wide range of </w:t>
      </w:r>
      <w:r w:rsidRPr="000E4076">
        <w:rPr>
          <w:rFonts w:ascii="Verdana" w:hAnsi="Verdana"/>
          <w:sz w:val="22"/>
          <w:szCs w:val="22"/>
        </w:rPr>
        <w:t>stakeholders</w:t>
      </w:r>
      <w:r w:rsidR="007735F9" w:rsidRPr="000E4076">
        <w:rPr>
          <w:rFonts w:ascii="Verdana" w:hAnsi="Verdana"/>
          <w:sz w:val="22"/>
          <w:szCs w:val="22"/>
        </w:rPr>
        <w:t>, from different departments within the municipality, to different tiers of government playing a role in urban development policies (design, financing, delivery), and  beneficiaries or target groups of urban policies.</w:t>
      </w:r>
    </w:p>
    <w:p w:rsidR="00E21452" w:rsidRPr="000E4076" w:rsidRDefault="00E21452" w:rsidP="00312A5F">
      <w:pPr>
        <w:pStyle w:val="ad"/>
        <w:spacing w:after="120" w:line="276" w:lineRule="auto"/>
        <w:ind w:right="254"/>
        <w:jc w:val="both"/>
        <w:rPr>
          <w:rFonts w:ascii="Verdana" w:hAnsi="Verdana"/>
          <w:sz w:val="22"/>
          <w:szCs w:val="22"/>
        </w:rPr>
      </w:pPr>
      <w:r w:rsidRPr="000E4076">
        <w:rPr>
          <w:rFonts w:ascii="Verdana" w:hAnsi="Verdana"/>
          <w:sz w:val="22"/>
          <w:szCs w:val="22"/>
        </w:rPr>
        <w:t xml:space="preserve">URBACT will support and stimulate the exchange of experience of cities preparing integrated and sustainable urban strategies and actions; there will be specific attention paid to improving the quality of the strategies and to the involvement of managing authorities. Improving the quality of urban development strategies and actions implies enhancing the diagnosis phase (especially through a stronger evidence base), strengthening the integration of the different policy areas contributing to address urban challenges, and ensuring a participatory approach through the involvement of the relevant stakeholders in the action-planning process. </w:t>
      </w:r>
    </w:p>
    <w:p w:rsidR="00E21452" w:rsidRPr="000E4076" w:rsidRDefault="00E21452" w:rsidP="00312A5F">
      <w:pPr>
        <w:pStyle w:val="ad"/>
        <w:spacing w:after="120" w:line="276" w:lineRule="auto"/>
        <w:ind w:right="254"/>
        <w:jc w:val="both"/>
        <w:rPr>
          <w:rFonts w:ascii="Verdana" w:hAnsi="Verdana"/>
          <w:sz w:val="22"/>
          <w:szCs w:val="22"/>
        </w:rPr>
      </w:pPr>
      <w:r w:rsidRPr="000E4076">
        <w:rPr>
          <w:rFonts w:ascii="Verdana" w:hAnsi="Verdana"/>
          <w:sz w:val="22"/>
          <w:szCs w:val="22"/>
        </w:rPr>
        <w:t xml:space="preserve">Attention will be paid to the contribution of the actions plans produced within URBACT projects to the overall strategy of the city. Better strategies and action plans will enable cities to attract more funding to help tackle key urban challenges. Better </w:t>
      </w:r>
      <w:r w:rsidR="002D20E1" w:rsidRPr="000E4076">
        <w:rPr>
          <w:rFonts w:ascii="Verdana" w:hAnsi="Verdana"/>
          <w:sz w:val="22"/>
          <w:szCs w:val="22"/>
        </w:rPr>
        <w:t xml:space="preserve">strategies </w:t>
      </w:r>
      <w:r w:rsidRPr="000E4076">
        <w:rPr>
          <w:rFonts w:ascii="Verdana" w:hAnsi="Verdana"/>
          <w:sz w:val="22"/>
          <w:szCs w:val="22"/>
        </w:rPr>
        <w:t xml:space="preserve">and action plans will help cities involved in the “Action-planning networks” of the programme to address the economic, social and environmental challenges they are facing </w:t>
      </w:r>
      <w:r w:rsidR="006B26F7" w:rsidRPr="000E4076">
        <w:rPr>
          <w:rFonts w:ascii="Verdana" w:hAnsi="Verdana"/>
          <w:sz w:val="22"/>
          <w:szCs w:val="22"/>
        </w:rPr>
        <w:t xml:space="preserve">today </w:t>
      </w:r>
      <w:r w:rsidRPr="000E4076">
        <w:rPr>
          <w:rFonts w:ascii="Verdana" w:hAnsi="Verdana"/>
          <w:sz w:val="22"/>
          <w:szCs w:val="22"/>
        </w:rPr>
        <w:t xml:space="preserve">(see 1.1.2).  </w:t>
      </w:r>
    </w:p>
    <w:p w:rsidR="006B26F7" w:rsidRPr="000E4076" w:rsidRDefault="006B26F7" w:rsidP="00312A5F">
      <w:pPr>
        <w:pStyle w:val="ad"/>
        <w:spacing w:after="120" w:line="276" w:lineRule="auto"/>
        <w:ind w:right="254"/>
        <w:jc w:val="both"/>
        <w:rPr>
          <w:rFonts w:ascii="Verdana" w:hAnsi="Verdana"/>
          <w:sz w:val="22"/>
          <w:szCs w:val="22"/>
        </w:rPr>
      </w:pPr>
    </w:p>
    <w:p w:rsidR="00E21452" w:rsidRPr="000E4076" w:rsidRDefault="00E21452" w:rsidP="00312A5F">
      <w:pPr>
        <w:spacing w:after="120" w:line="276" w:lineRule="auto"/>
        <w:jc w:val="both"/>
        <w:rPr>
          <w:rFonts w:ascii="Verdana" w:hAnsi="Verdana" w:cs="Arial"/>
          <w:sz w:val="22"/>
          <w:szCs w:val="22"/>
        </w:rPr>
      </w:pPr>
      <w:r w:rsidRPr="00135F1C">
        <w:rPr>
          <w:rFonts w:ascii="Verdana" w:hAnsi="Verdana"/>
          <w:b/>
          <w:sz w:val="22"/>
          <w:szCs w:val="22"/>
          <w:u w:val="single"/>
        </w:rPr>
        <w:t>Specific Objective 3</w:t>
      </w:r>
      <w:r w:rsidRPr="000E4076">
        <w:rPr>
          <w:rFonts w:ascii="Verdana" w:hAnsi="Verdana"/>
          <w:b/>
          <w:sz w:val="22"/>
          <w:szCs w:val="22"/>
        </w:rPr>
        <w:t xml:space="preserve">: </w:t>
      </w:r>
      <w:r w:rsidRPr="000E4076">
        <w:rPr>
          <w:rFonts w:ascii="Verdana" w:hAnsi="Verdana" w:cs="Arial"/>
          <w:sz w:val="22"/>
          <w:szCs w:val="22"/>
        </w:rPr>
        <w:t>To improve the implementation of sustainable urban strategies and action</w:t>
      </w:r>
      <w:r w:rsidR="002A1E5A" w:rsidRPr="000E4076">
        <w:rPr>
          <w:rFonts w:ascii="Verdana" w:hAnsi="Verdana" w:cs="Arial"/>
          <w:sz w:val="22"/>
          <w:szCs w:val="22"/>
        </w:rPr>
        <w:t xml:space="preserve"> plan</w:t>
      </w:r>
      <w:r w:rsidRPr="000E4076">
        <w:rPr>
          <w:rFonts w:ascii="Verdana" w:hAnsi="Verdana" w:cs="Arial"/>
          <w:sz w:val="22"/>
          <w:szCs w:val="22"/>
        </w:rPr>
        <w:t xml:space="preserve">s in cities </w:t>
      </w:r>
    </w:p>
    <w:p w:rsidR="00E21452" w:rsidRPr="000E4076" w:rsidRDefault="00E21452" w:rsidP="00312A5F">
      <w:pPr>
        <w:spacing w:after="120" w:line="276" w:lineRule="auto"/>
        <w:jc w:val="both"/>
        <w:rPr>
          <w:rFonts w:ascii="Verdana" w:hAnsi="Verdana"/>
          <w:sz w:val="22"/>
          <w:szCs w:val="22"/>
        </w:rPr>
      </w:pPr>
      <w:r w:rsidRPr="000E4076">
        <w:rPr>
          <w:rFonts w:ascii="Verdana" w:hAnsi="Verdana" w:cs="Arial"/>
          <w:b/>
          <w:sz w:val="22"/>
          <w:szCs w:val="22"/>
        </w:rPr>
        <w:t xml:space="preserve">Expected results: </w:t>
      </w:r>
      <w:r w:rsidRPr="000E4076">
        <w:rPr>
          <w:rFonts w:ascii="Verdana" w:hAnsi="Verdana"/>
          <w:sz w:val="22"/>
          <w:szCs w:val="22"/>
        </w:rPr>
        <w:t xml:space="preserve">Cities improve the implementation of integrated plans for sustainable urban development </w:t>
      </w:r>
    </w:p>
    <w:p w:rsidR="00E21452" w:rsidRPr="000E4076" w:rsidRDefault="00E21452" w:rsidP="00312A5F">
      <w:pPr>
        <w:spacing w:after="120" w:line="276" w:lineRule="auto"/>
        <w:jc w:val="both"/>
        <w:rPr>
          <w:rFonts w:ascii="Verdana" w:hAnsi="Verdana"/>
          <w:sz w:val="22"/>
          <w:szCs w:val="22"/>
        </w:rPr>
      </w:pPr>
      <w:r w:rsidRPr="000E4076">
        <w:rPr>
          <w:rFonts w:ascii="Verdana" w:hAnsi="Verdana"/>
          <w:sz w:val="22"/>
          <w:szCs w:val="22"/>
        </w:rPr>
        <w:t>This specific objective has two result indicators:</w:t>
      </w:r>
    </w:p>
    <w:p w:rsidR="00E73A82" w:rsidRPr="000E4076" w:rsidRDefault="00967EB8" w:rsidP="00D67ECF">
      <w:pPr>
        <w:numPr>
          <w:ilvl w:val="0"/>
          <w:numId w:val="20"/>
        </w:numPr>
        <w:spacing w:after="120" w:line="276" w:lineRule="auto"/>
        <w:ind w:left="907" w:hanging="340"/>
        <w:jc w:val="both"/>
        <w:rPr>
          <w:rFonts w:ascii="Verdana" w:hAnsi="Verdana"/>
          <w:sz w:val="22"/>
          <w:szCs w:val="22"/>
        </w:rPr>
      </w:pPr>
      <w:r w:rsidRPr="000E4076">
        <w:rPr>
          <w:rFonts w:ascii="Verdana" w:hAnsi="Verdana"/>
          <w:sz w:val="22"/>
          <w:szCs w:val="22"/>
        </w:rPr>
        <w:t>Number of cities supported by URBACT III improving the implementation by achieving key milestones respecting the timeline set in their integrated strategies or action plans</w:t>
      </w:r>
    </w:p>
    <w:p w:rsidR="00E73A82" w:rsidRPr="000E4076" w:rsidRDefault="002E5CA7" w:rsidP="00D67ECF">
      <w:pPr>
        <w:numPr>
          <w:ilvl w:val="0"/>
          <w:numId w:val="20"/>
        </w:numPr>
        <w:spacing w:after="120" w:line="276" w:lineRule="auto"/>
        <w:ind w:left="907" w:hanging="340"/>
        <w:jc w:val="both"/>
        <w:rPr>
          <w:rFonts w:ascii="Verdana" w:hAnsi="Verdana"/>
          <w:sz w:val="22"/>
          <w:szCs w:val="22"/>
        </w:rPr>
      </w:pPr>
      <w:r w:rsidRPr="000E4076">
        <w:rPr>
          <w:rFonts w:ascii="Verdana" w:hAnsi="Verdana"/>
          <w:sz w:val="22"/>
          <w:szCs w:val="22"/>
        </w:rPr>
        <w:t>Number of cities having re-used a good practice in the perspective of improving the implementation of integrated plans for sustainable urban development</w:t>
      </w:r>
    </w:p>
    <w:p w:rsidR="00E21452" w:rsidRPr="000E4076" w:rsidRDefault="00E21452" w:rsidP="00312A5F">
      <w:pPr>
        <w:spacing w:after="120" w:line="276" w:lineRule="auto"/>
        <w:jc w:val="both"/>
        <w:rPr>
          <w:rFonts w:ascii="Verdana" w:hAnsi="Verdana"/>
          <w:sz w:val="22"/>
          <w:szCs w:val="22"/>
        </w:rPr>
      </w:pPr>
      <w:r w:rsidRPr="000E4076">
        <w:rPr>
          <w:rFonts w:ascii="Verdana" w:hAnsi="Verdana"/>
          <w:sz w:val="22"/>
          <w:szCs w:val="22"/>
        </w:rPr>
        <w:t xml:space="preserve">For all cities in Europe mobilizing public or private, local, regional or national resources the quality of the implementation phase of an integrated urban strategy and of the corresponding actions in terms of speed, quality of execution, participatory process is essential to achieve the results targeted in the planning phase. With the new opportunities for programming the urban dimension, especially under article 7 of the ERDF regulation which requires a minimum of 5% of the national ERDF allocation to go to integrated sustainable urban development actions </w:t>
      </w:r>
      <w:r w:rsidRPr="000E4076">
        <w:rPr>
          <w:rFonts w:ascii="Verdana" w:hAnsi="Verdana"/>
          <w:iCs/>
          <w:sz w:val="22"/>
          <w:szCs w:val="22"/>
        </w:rPr>
        <w:t xml:space="preserve">but also with other types of public or private funding, </w:t>
      </w:r>
      <w:r w:rsidRPr="000E4076">
        <w:rPr>
          <w:rFonts w:ascii="Verdana" w:hAnsi="Verdana"/>
          <w:sz w:val="22"/>
          <w:szCs w:val="22"/>
        </w:rPr>
        <w:t xml:space="preserve">a lot of cities will need support to improve the implementation of their action plans. </w:t>
      </w:r>
    </w:p>
    <w:p w:rsidR="00E21452" w:rsidRPr="000E4076" w:rsidRDefault="00E21452" w:rsidP="00312A5F">
      <w:pPr>
        <w:spacing w:after="120" w:line="276" w:lineRule="auto"/>
        <w:jc w:val="both"/>
        <w:rPr>
          <w:rFonts w:ascii="Verdana" w:hAnsi="Verdana"/>
          <w:sz w:val="22"/>
          <w:szCs w:val="22"/>
        </w:rPr>
      </w:pPr>
      <w:r w:rsidRPr="000E4076">
        <w:rPr>
          <w:rFonts w:ascii="Verdana" w:hAnsi="Verdana"/>
          <w:sz w:val="22"/>
          <w:szCs w:val="22"/>
        </w:rPr>
        <w:t>In this context, the programme will support transnational exchange of experience and good practice among cities implementing integrated strategies for sustainable urban development.</w:t>
      </w:r>
    </w:p>
    <w:p w:rsidR="00E21452" w:rsidRPr="000E4076" w:rsidRDefault="00E21452" w:rsidP="00312A5F">
      <w:pPr>
        <w:spacing w:after="120" w:line="276" w:lineRule="auto"/>
        <w:jc w:val="both"/>
        <w:rPr>
          <w:rFonts w:ascii="Verdana" w:hAnsi="Verdana"/>
          <w:b/>
          <w:sz w:val="22"/>
          <w:szCs w:val="22"/>
        </w:rPr>
      </w:pPr>
    </w:p>
    <w:p w:rsidR="006B5486" w:rsidRPr="000E4076" w:rsidRDefault="00E21452" w:rsidP="00312A5F">
      <w:pPr>
        <w:spacing w:after="120" w:line="276" w:lineRule="auto"/>
        <w:jc w:val="both"/>
        <w:rPr>
          <w:rFonts w:ascii="Verdana" w:hAnsi="Verdana"/>
          <w:sz w:val="22"/>
          <w:szCs w:val="22"/>
        </w:rPr>
      </w:pPr>
      <w:r w:rsidRPr="00135F1C">
        <w:rPr>
          <w:rFonts w:ascii="Verdana" w:hAnsi="Verdana"/>
          <w:b/>
          <w:sz w:val="22"/>
          <w:szCs w:val="22"/>
          <w:u w:val="single"/>
        </w:rPr>
        <w:t>Specific Objective 4</w:t>
      </w:r>
      <w:r w:rsidRPr="000E4076">
        <w:rPr>
          <w:rFonts w:ascii="Verdana" w:hAnsi="Verdana"/>
          <w:b/>
          <w:sz w:val="22"/>
          <w:szCs w:val="22"/>
        </w:rPr>
        <w:t xml:space="preserve">: </w:t>
      </w:r>
      <w:r w:rsidR="006B5486" w:rsidRPr="000E4076">
        <w:rPr>
          <w:rFonts w:ascii="Verdana" w:hAnsi="Verdana"/>
          <w:sz w:val="22"/>
          <w:szCs w:val="22"/>
        </w:rPr>
        <w:t>To ensure that practitioners and decision-makers at all levels (EU, national, regional and local) have increased access to URBACT thematic knowledge and share know-how on all aspects of sustainable urban development in order to improve urban policies.</w:t>
      </w:r>
    </w:p>
    <w:p w:rsidR="001E726A" w:rsidRPr="000E4076" w:rsidRDefault="001E726A" w:rsidP="00312A5F">
      <w:pPr>
        <w:spacing w:after="120" w:line="276" w:lineRule="auto"/>
        <w:jc w:val="both"/>
        <w:rPr>
          <w:rFonts w:ascii="Verdana" w:hAnsi="Verdana"/>
          <w:sz w:val="22"/>
          <w:szCs w:val="22"/>
        </w:rPr>
      </w:pPr>
      <w:r w:rsidRPr="000E4076">
        <w:rPr>
          <w:rFonts w:ascii="Verdana" w:hAnsi="Verdana" w:cs="Arial"/>
          <w:b/>
          <w:sz w:val="22"/>
          <w:szCs w:val="22"/>
        </w:rPr>
        <w:t xml:space="preserve">Expected results: </w:t>
      </w:r>
      <w:r w:rsidR="002E5CA7" w:rsidRPr="000E4076">
        <w:rPr>
          <w:rFonts w:ascii="Verdana" w:hAnsi="Verdana"/>
          <w:sz w:val="22"/>
          <w:szCs w:val="22"/>
        </w:rPr>
        <w:t>Practitioners and decision makers at all levels (EU, national, regional and local) have increased access to URBACT thematic knowledge and share know-how on sustainable urban development</w:t>
      </w:r>
    </w:p>
    <w:p w:rsidR="00E21452" w:rsidRPr="000E4076" w:rsidRDefault="00E21452" w:rsidP="00312A5F">
      <w:pPr>
        <w:spacing w:after="120" w:line="276" w:lineRule="auto"/>
        <w:jc w:val="both"/>
        <w:rPr>
          <w:rFonts w:ascii="Verdana" w:hAnsi="Verdana"/>
          <w:sz w:val="22"/>
          <w:szCs w:val="22"/>
        </w:rPr>
      </w:pPr>
      <w:r w:rsidRPr="000E4076">
        <w:rPr>
          <w:rFonts w:ascii="Verdana" w:hAnsi="Verdana"/>
          <w:sz w:val="22"/>
          <w:szCs w:val="22"/>
        </w:rPr>
        <w:t>This specific objective has one result indicator:</w:t>
      </w:r>
    </w:p>
    <w:p w:rsidR="00E73A82" w:rsidRPr="000E4076" w:rsidRDefault="002E5CA7" w:rsidP="00312A5F">
      <w:pPr>
        <w:spacing w:after="120" w:line="276" w:lineRule="auto"/>
        <w:ind w:left="840"/>
        <w:rPr>
          <w:rFonts w:ascii="Verdana" w:hAnsi="Verdana"/>
          <w:sz w:val="22"/>
          <w:szCs w:val="22"/>
        </w:rPr>
      </w:pPr>
      <w:r w:rsidRPr="000E4076">
        <w:rPr>
          <w:rFonts w:ascii="Verdana" w:hAnsi="Verdana"/>
          <w:sz w:val="22"/>
          <w:szCs w:val="22"/>
        </w:rPr>
        <w:t>Number of decision-makers and practitioners at all levels (EU, national, regional and local) who have used URBACT thematic knowledge about sustainable urban development in their work</w:t>
      </w:r>
      <w:r w:rsidR="006B5486" w:rsidRPr="000E4076">
        <w:rPr>
          <w:rFonts w:ascii="Verdana" w:hAnsi="Verdana"/>
          <w:sz w:val="22"/>
          <w:szCs w:val="22"/>
        </w:rPr>
        <w:t>.</w:t>
      </w:r>
    </w:p>
    <w:p w:rsidR="00E21452" w:rsidRPr="000E4076" w:rsidRDefault="00E21452" w:rsidP="00312A5F">
      <w:pPr>
        <w:spacing w:after="120" w:line="276" w:lineRule="auto"/>
        <w:jc w:val="both"/>
        <w:rPr>
          <w:rFonts w:ascii="Verdana" w:hAnsi="Verdana"/>
          <w:color w:val="000000"/>
          <w:sz w:val="22"/>
          <w:szCs w:val="22"/>
        </w:rPr>
      </w:pPr>
      <w:r w:rsidRPr="000E4076">
        <w:rPr>
          <w:rFonts w:ascii="Verdana" w:hAnsi="Verdana" w:cs="Arial"/>
          <w:sz w:val="22"/>
          <w:szCs w:val="22"/>
        </w:rPr>
        <w:t xml:space="preserve">The collaboration </w:t>
      </w:r>
      <w:r w:rsidR="002C04CA" w:rsidRPr="000E4076">
        <w:rPr>
          <w:rFonts w:ascii="Verdana" w:hAnsi="Verdana" w:cs="Arial"/>
          <w:sz w:val="22"/>
          <w:szCs w:val="22"/>
        </w:rPr>
        <w:t xml:space="preserve">between </w:t>
      </w:r>
      <w:r w:rsidRPr="000E4076">
        <w:rPr>
          <w:rFonts w:ascii="Verdana" w:hAnsi="Verdana" w:cs="Arial"/>
          <w:sz w:val="22"/>
          <w:szCs w:val="22"/>
        </w:rPr>
        <w:t>elected people, city managers, practitioners</w:t>
      </w:r>
      <w:r w:rsidR="00FB4A24" w:rsidRPr="000E4076">
        <w:rPr>
          <w:rFonts w:ascii="Verdana" w:hAnsi="Verdana" w:cs="Arial"/>
          <w:sz w:val="22"/>
          <w:szCs w:val="22"/>
        </w:rPr>
        <w:t xml:space="preserve"> and</w:t>
      </w:r>
      <w:r w:rsidRPr="000E4076">
        <w:rPr>
          <w:rFonts w:ascii="Verdana" w:hAnsi="Verdana" w:cs="Arial"/>
          <w:sz w:val="22"/>
          <w:szCs w:val="22"/>
        </w:rPr>
        <w:t xml:space="preserve"> other local stakeholders, of </w:t>
      </w:r>
      <w:r w:rsidR="002C04CA" w:rsidRPr="000E4076">
        <w:rPr>
          <w:rFonts w:ascii="Verdana" w:hAnsi="Verdana" w:cs="Arial"/>
          <w:sz w:val="22"/>
          <w:szCs w:val="22"/>
        </w:rPr>
        <w:t>local</w:t>
      </w:r>
      <w:r w:rsidRPr="000E4076">
        <w:rPr>
          <w:rFonts w:ascii="Verdana" w:hAnsi="Verdana" w:cs="Arial"/>
          <w:sz w:val="22"/>
          <w:szCs w:val="22"/>
        </w:rPr>
        <w:t>, regional, national and European level</w:t>
      </w:r>
      <w:r w:rsidR="002C04CA" w:rsidRPr="000E4076">
        <w:rPr>
          <w:rFonts w:ascii="Verdana" w:hAnsi="Verdana" w:cs="Arial"/>
          <w:sz w:val="22"/>
          <w:szCs w:val="22"/>
        </w:rPr>
        <w:t>s</w:t>
      </w:r>
      <w:r w:rsidRPr="000E4076">
        <w:rPr>
          <w:rFonts w:ascii="Verdana" w:hAnsi="Verdana" w:cs="Arial"/>
          <w:sz w:val="22"/>
          <w:szCs w:val="22"/>
        </w:rPr>
        <w:t xml:space="preserve"> is essential for cities. </w:t>
      </w:r>
      <w:r w:rsidRPr="000E4076">
        <w:rPr>
          <w:rFonts w:ascii="Verdana" w:hAnsi="Verdana"/>
          <w:color w:val="000000"/>
          <w:sz w:val="22"/>
          <w:szCs w:val="22"/>
        </w:rPr>
        <w:t xml:space="preserve">Cities cannot work alone. They need to develop their strategies together with other cities and other actors such as managing authorities, as well as organisations working at local, regional, national and European levels. </w:t>
      </w:r>
    </w:p>
    <w:p w:rsidR="00E21452" w:rsidRPr="000E4076" w:rsidRDefault="00E21452" w:rsidP="00312A5F">
      <w:pPr>
        <w:spacing w:after="120" w:line="276" w:lineRule="auto"/>
        <w:jc w:val="both"/>
        <w:rPr>
          <w:rFonts w:ascii="Verdana" w:hAnsi="Verdana"/>
          <w:color w:val="000000"/>
          <w:sz w:val="22"/>
          <w:szCs w:val="22"/>
        </w:rPr>
      </w:pPr>
    </w:p>
    <w:p w:rsidR="00E21452" w:rsidRPr="000E4076" w:rsidRDefault="002E5CA7" w:rsidP="00312A5F">
      <w:pPr>
        <w:spacing w:after="120" w:line="276" w:lineRule="auto"/>
        <w:jc w:val="both"/>
        <w:rPr>
          <w:rFonts w:ascii="Verdana" w:hAnsi="Verdana" w:cs="Arial"/>
          <w:sz w:val="22"/>
          <w:szCs w:val="22"/>
        </w:rPr>
      </w:pPr>
      <w:r w:rsidRPr="000E4076">
        <w:rPr>
          <w:rFonts w:ascii="Verdana" w:hAnsi="Verdana"/>
          <w:color w:val="000000"/>
          <w:sz w:val="22"/>
          <w:szCs w:val="22"/>
        </w:rPr>
        <w:t xml:space="preserve">Facilitated access, for </w:t>
      </w:r>
      <w:r w:rsidRPr="000E4076">
        <w:rPr>
          <w:rFonts w:ascii="Verdana" w:hAnsi="Verdana" w:cs="Arial"/>
          <w:sz w:val="22"/>
          <w:szCs w:val="22"/>
        </w:rPr>
        <w:t xml:space="preserve">practitioners and decision makers at all levels, to knowledge and know-how on integrated and sustainable urban development is key to develop a common understanding and to enable efficient multi-level governance. Therefore it is essential to stimulate the transfer of good practices and policies into mainstreamed urban policy and practice for all practitioners and decision-makers beyond the direct beneficiaries of the programme; in order to facilitate the up-take of URBACT results and knowledge at all relevant levels playing a role in the design and implementation of sustainable urban policies, </w:t>
      </w:r>
      <w:r w:rsidRPr="000E4076">
        <w:rPr>
          <w:rFonts w:ascii="Verdana" w:hAnsi="Verdana"/>
          <w:sz w:val="22"/>
          <w:szCs w:val="22"/>
        </w:rPr>
        <w:t>links between European/programme level, national, regional level and city level (also using national languages), will be strengthened.</w:t>
      </w:r>
    </w:p>
    <w:p w:rsidR="00E21452" w:rsidRPr="000E4076" w:rsidRDefault="002E5CA7" w:rsidP="00312A5F">
      <w:pPr>
        <w:spacing w:after="120" w:line="276" w:lineRule="auto"/>
        <w:jc w:val="both"/>
        <w:rPr>
          <w:rFonts w:ascii="Verdana" w:hAnsi="Verdana"/>
          <w:sz w:val="22"/>
          <w:szCs w:val="22"/>
        </w:rPr>
      </w:pPr>
      <w:r w:rsidRPr="000E4076">
        <w:rPr>
          <w:rFonts w:ascii="Verdana" w:hAnsi="Verdana"/>
          <w:sz w:val="22"/>
          <w:szCs w:val="22"/>
        </w:rPr>
        <w:t>It is expected that through its activities, URBACT will strengthen the up-take of knowledge on sustainable urban development and increase the opportunities of exchange of know-how at all levels, also at national level in national languages. This will as a consequence help cities to improve their urban development policies, practitioners and decision makers of all levels sharing together common knowledge and practices.</w:t>
      </w:r>
    </w:p>
    <w:p w:rsidR="00E21452" w:rsidRPr="000E4076" w:rsidRDefault="00E21452" w:rsidP="00312A5F">
      <w:pPr>
        <w:spacing w:after="120" w:line="276" w:lineRule="auto"/>
        <w:rPr>
          <w:rFonts w:ascii="Verdana" w:hAnsi="Verdana"/>
          <w:b/>
          <w:sz w:val="22"/>
          <w:szCs w:val="22"/>
        </w:rPr>
        <w:sectPr w:rsidR="00E21452" w:rsidRPr="000E4076" w:rsidSect="00E21452">
          <w:footerReference w:type="default" r:id="rId26"/>
          <w:pgSz w:w="11906" w:h="16838"/>
          <w:pgMar w:top="1417" w:right="1417" w:bottom="1417" w:left="1417" w:header="709" w:footer="709" w:gutter="0"/>
          <w:cols w:space="708"/>
          <w:docGrid w:linePitch="360"/>
        </w:sectPr>
      </w:pPr>
    </w:p>
    <w:p w:rsidR="00E21452" w:rsidRPr="000E4076" w:rsidRDefault="00E21452" w:rsidP="00312A5F">
      <w:pPr>
        <w:spacing w:after="120" w:line="276" w:lineRule="auto"/>
        <w:rPr>
          <w:rFonts w:ascii="Verdana" w:hAnsi="Verdana"/>
          <w:b/>
          <w:sz w:val="22"/>
          <w:szCs w:val="22"/>
        </w:rPr>
      </w:pPr>
      <w:r w:rsidRPr="000E4076">
        <w:rPr>
          <w:rFonts w:ascii="Verdana" w:hAnsi="Verdana"/>
          <w:b/>
          <w:sz w:val="22"/>
          <w:szCs w:val="22"/>
        </w:rPr>
        <w:t xml:space="preserve">Table 3: Programme specific result indicators (by specific objective) </w:t>
      </w:r>
      <w:r w:rsidRPr="000E4076">
        <w:rPr>
          <w:rFonts w:ascii="Verdana" w:hAnsi="Verdana"/>
          <w:b/>
          <w:sz w:val="22"/>
          <w:szCs w:val="22"/>
        </w:rPr>
        <w:noBreakHyphen/>
        <w:t xml:space="preserve"> Article 7.2 (b</w:t>
      </w:r>
      <w:r w:rsidR="0029014E" w:rsidRPr="000E4076">
        <w:rPr>
          <w:rFonts w:ascii="Verdana" w:hAnsi="Verdana"/>
          <w:b/>
          <w:sz w:val="22"/>
          <w:szCs w:val="22"/>
        </w:rPr>
        <w:t>) (</w:t>
      </w:r>
      <w:r w:rsidRPr="000E4076">
        <w:rPr>
          <w:rFonts w:ascii="Verdana" w:hAnsi="Verdana"/>
          <w:b/>
          <w:sz w:val="22"/>
          <w:szCs w:val="22"/>
        </w:rPr>
        <w:t xml:space="preserve">ii) ETC Regulation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3000"/>
        <w:gridCol w:w="1379"/>
        <w:gridCol w:w="1714"/>
        <w:gridCol w:w="993"/>
        <w:gridCol w:w="2267"/>
        <w:gridCol w:w="2390"/>
        <w:gridCol w:w="1119"/>
      </w:tblGrid>
      <w:tr w:rsidR="00E21452" w:rsidRPr="00E60AC2" w:rsidTr="00E60AC2">
        <w:trPr>
          <w:trHeight w:val="870"/>
        </w:trPr>
        <w:tc>
          <w:tcPr>
            <w:tcW w:w="700" w:type="pct"/>
            <w:tcBorders>
              <w:top w:val="single" w:sz="4" w:space="0" w:color="auto"/>
              <w:left w:val="single" w:sz="4" w:space="0" w:color="auto"/>
              <w:bottom w:val="single" w:sz="4" w:space="0" w:color="auto"/>
              <w:right w:val="single" w:sz="4" w:space="0" w:color="auto"/>
            </w:tcBorders>
            <w:vAlign w:val="center"/>
          </w:tcPr>
          <w:p w:rsidR="00E21452" w:rsidRPr="00E60AC2" w:rsidRDefault="00E21452" w:rsidP="007E33E3">
            <w:pPr>
              <w:jc w:val="center"/>
              <w:rPr>
                <w:rFonts w:ascii="Verdana" w:hAnsi="Verdana"/>
                <w:b/>
                <w:i/>
                <w:sz w:val="16"/>
                <w:szCs w:val="16"/>
              </w:rPr>
            </w:pPr>
            <w:r w:rsidRPr="00E60AC2">
              <w:rPr>
                <w:rFonts w:ascii="Verdana" w:hAnsi="Verdana"/>
                <w:b/>
                <w:i/>
                <w:sz w:val="16"/>
                <w:szCs w:val="16"/>
              </w:rPr>
              <w:t>ID Result</w:t>
            </w:r>
          </w:p>
        </w:tc>
        <w:tc>
          <w:tcPr>
            <w:tcW w:w="1003" w:type="pct"/>
            <w:tcBorders>
              <w:top w:val="single" w:sz="4" w:space="0" w:color="auto"/>
              <w:left w:val="single" w:sz="4" w:space="0" w:color="auto"/>
              <w:bottom w:val="single" w:sz="4" w:space="0" w:color="auto"/>
              <w:right w:val="single" w:sz="4" w:space="0" w:color="auto"/>
            </w:tcBorders>
            <w:vAlign w:val="center"/>
          </w:tcPr>
          <w:p w:rsidR="00E21452" w:rsidRPr="00E60AC2" w:rsidRDefault="00E21452" w:rsidP="007E33E3">
            <w:pPr>
              <w:jc w:val="center"/>
              <w:rPr>
                <w:rFonts w:ascii="Verdana" w:hAnsi="Verdana"/>
                <w:b/>
                <w:i/>
                <w:sz w:val="16"/>
                <w:szCs w:val="16"/>
              </w:rPr>
            </w:pPr>
            <w:r w:rsidRPr="00E60AC2">
              <w:rPr>
                <w:rFonts w:ascii="Verdana" w:hAnsi="Verdana"/>
                <w:b/>
                <w:i/>
                <w:sz w:val="16"/>
                <w:szCs w:val="16"/>
              </w:rPr>
              <w:t>Indicator</w:t>
            </w:r>
          </w:p>
        </w:tc>
        <w:tc>
          <w:tcPr>
            <w:tcW w:w="461" w:type="pct"/>
            <w:tcBorders>
              <w:top w:val="single" w:sz="4" w:space="0" w:color="auto"/>
              <w:left w:val="single" w:sz="4" w:space="0" w:color="auto"/>
              <w:bottom w:val="single" w:sz="4" w:space="0" w:color="auto"/>
              <w:right w:val="single" w:sz="4" w:space="0" w:color="auto"/>
            </w:tcBorders>
            <w:vAlign w:val="center"/>
          </w:tcPr>
          <w:p w:rsidR="00E21452" w:rsidRPr="00E60AC2" w:rsidRDefault="00E21452" w:rsidP="007E33E3">
            <w:pPr>
              <w:jc w:val="center"/>
              <w:rPr>
                <w:rFonts w:ascii="Verdana" w:hAnsi="Verdana"/>
                <w:b/>
                <w:i/>
                <w:sz w:val="16"/>
                <w:szCs w:val="16"/>
              </w:rPr>
            </w:pPr>
            <w:r w:rsidRPr="00E60AC2">
              <w:rPr>
                <w:rFonts w:ascii="Verdana" w:hAnsi="Verdana"/>
                <w:b/>
                <w:i/>
                <w:sz w:val="16"/>
                <w:szCs w:val="16"/>
              </w:rPr>
              <w:t>Measure</w:t>
            </w:r>
            <w:r w:rsidR="00312A5F" w:rsidRPr="00E60AC2">
              <w:rPr>
                <w:rFonts w:ascii="Verdana" w:hAnsi="Verdana"/>
                <w:b/>
                <w:i/>
                <w:sz w:val="16"/>
                <w:szCs w:val="16"/>
              </w:rPr>
              <w:t>-</w:t>
            </w:r>
            <w:r w:rsidRPr="00E60AC2">
              <w:rPr>
                <w:rFonts w:ascii="Verdana" w:hAnsi="Verdana"/>
                <w:b/>
                <w:i/>
                <w:sz w:val="16"/>
                <w:szCs w:val="16"/>
              </w:rPr>
              <w:t>ment Unit</w:t>
            </w:r>
          </w:p>
        </w:tc>
        <w:tc>
          <w:tcPr>
            <w:tcW w:w="573" w:type="pct"/>
            <w:tcBorders>
              <w:top w:val="single" w:sz="4" w:space="0" w:color="auto"/>
              <w:left w:val="single" w:sz="4" w:space="0" w:color="auto"/>
              <w:bottom w:val="single" w:sz="4" w:space="0" w:color="auto"/>
              <w:right w:val="single" w:sz="4" w:space="0" w:color="auto"/>
            </w:tcBorders>
            <w:vAlign w:val="center"/>
          </w:tcPr>
          <w:p w:rsidR="00E21452" w:rsidRPr="00E60AC2" w:rsidRDefault="00E21452" w:rsidP="007E33E3">
            <w:pPr>
              <w:jc w:val="center"/>
              <w:rPr>
                <w:rFonts w:ascii="Verdana" w:hAnsi="Verdana"/>
                <w:b/>
                <w:i/>
                <w:sz w:val="16"/>
                <w:szCs w:val="16"/>
              </w:rPr>
            </w:pPr>
            <w:r w:rsidRPr="00E60AC2">
              <w:rPr>
                <w:rFonts w:ascii="Verdana" w:hAnsi="Verdana"/>
                <w:b/>
                <w:i/>
                <w:sz w:val="16"/>
                <w:szCs w:val="16"/>
              </w:rPr>
              <w:t>Baseline Value</w:t>
            </w:r>
          </w:p>
        </w:tc>
        <w:tc>
          <w:tcPr>
            <w:tcW w:w="332" w:type="pct"/>
            <w:tcBorders>
              <w:top w:val="single" w:sz="4" w:space="0" w:color="auto"/>
              <w:left w:val="single" w:sz="4" w:space="0" w:color="auto"/>
              <w:bottom w:val="single" w:sz="4" w:space="0" w:color="auto"/>
              <w:right w:val="single" w:sz="4" w:space="0" w:color="auto"/>
            </w:tcBorders>
            <w:vAlign w:val="center"/>
          </w:tcPr>
          <w:p w:rsidR="00E21452" w:rsidRPr="00E60AC2" w:rsidRDefault="00E21452" w:rsidP="007E33E3">
            <w:pPr>
              <w:jc w:val="center"/>
              <w:rPr>
                <w:rFonts w:ascii="Verdana" w:hAnsi="Verdana"/>
                <w:b/>
                <w:i/>
                <w:sz w:val="16"/>
                <w:szCs w:val="16"/>
              </w:rPr>
            </w:pPr>
            <w:r w:rsidRPr="00E60AC2">
              <w:rPr>
                <w:rFonts w:ascii="Verdana" w:hAnsi="Verdana"/>
                <w:b/>
                <w:i/>
                <w:sz w:val="16"/>
                <w:szCs w:val="16"/>
              </w:rPr>
              <w:t>Baseline Year</w:t>
            </w:r>
          </w:p>
        </w:tc>
        <w:tc>
          <w:tcPr>
            <w:tcW w:w="758" w:type="pct"/>
            <w:tcBorders>
              <w:top w:val="single" w:sz="4" w:space="0" w:color="auto"/>
              <w:left w:val="single" w:sz="4" w:space="0" w:color="auto"/>
              <w:bottom w:val="single" w:sz="4" w:space="0" w:color="auto"/>
              <w:right w:val="single" w:sz="4" w:space="0" w:color="auto"/>
            </w:tcBorders>
            <w:vAlign w:val="center"/>
          </w:tcPr>
          <w:p w:rsidR="00E21452" w:rsidRPr="00E60AC2" w:rsidRDefault="00E21452" w:rsidP="007E33E3">
            <w:pPr>
              <w:jc w:val="center"/>
              <w:rPr>
                <w:rFonts w:ascii="Verdana" w:hAnsi="Verdana"/>
                <w:b/>
                <w:i/>
                <w:sz w:val="16"/>
                <w:szCs w:val="16"/>
              </w:rPr>
            </w:pPr>
            <w:r w:rsidRPr="00E60AC2">
              <w:rPr>
                <w:rFonts w:ascii="Verdana" w:hAnsi="Verdana"/>
                <w:b/>
                <w:i/>
                <w:sz w:val="16"/>
                <w:szCs w:val="16"/>
              </w:rPr>
              <w:t>Target Value</w:t>
            </w:r>
            <w:r w:rsidRPr="00E60AC2">
              <w:rPr>
                <w:rFonts w:ascii="Verdana" w:hAnsi="Verdana"/>
                <w:b/>
                <w:i/>
                <w:sz w:val="16"/>
                <w:szCs w:val="16"/>
                <w:vertAlign w:val="superscript"/>
              </w:rPr>
              <w:footnoteReference w:id="26"/>
            </w:r>
            <w:r w:rsidRPr="00E60AC2">
              <w:rPr>
                <w:rFonts w:ascii="Verdana" w:hAnsi="Verdana"/>
                <w:b/>
                <w:i/>
                <w:sz w:val="16"/>
                <w:szCs w:val="16"/>
              </w:rPr>
              <w:t xml:space="preserve">  (2022)</w:t>
            </w:r>
          </w:p>
        </w:tc>
        <w:tc>
          <w:tcPr>
            <w:tcW w:w="799" w:type="pct"/>
            <w:tcBorders>
              <w:top w:val="single" w:sz="4" w:space="0" w:color="auto"/>
              <w:left w:val="single" w:sz="4" w:space="0" w:color="auto"/>
              <w:bottom w:val="single" w:sz="4" w:space="0" w:color="auto"/>
              <w:right w:val="single" w:sz="4" w:space="0" w:color="auto"/>
            </w:tcBorders>
            <w:vAlign w:val="center"/>
          </w:tcPr>
          <w:p w:rsidR="00E21452" w:rsidRPr="00E60AC2" w:rsidRDefault="00E21452" w:rsidP="007E33E3">
            <w:pPr>
              <w:jc w:val="center"/>
              <w:rPr>
                <w:rFonts w:ascii="Verdana" w:hAnsi="Verdana"/>
                <w:b/>
                <w:i/>
                <w:sz w:val="16"/>
                <w:szCs w:val="16"/>
              </w:rPr>
            </w:pPr>
            <w:r w:rsidRPr="00E60AC2">
              <w:rPr>
                <w:rFonts w:ascii="Verdana" w:hAnsi="Verdana"/>
                <w:b/>
                <w:i/>
                <w:sz w:val="16"/>
                <w:szCs w:val="16"/>
              </w:rPr>
              <w:t>Source of Data</w:t>
            </w:r>
          </w:p>
        </w:tc>
        <w:tc>
          <w:tcPr>
            <w:tcW w:w="374" w:type="pct"/>
            <w:tcBorders>
              <w:top w:val="single" w:sz="4" w:space="0" w:color="auto"/>
              <w:left w:val="single" w:sz="4" w:space="0" w:color="auto"/>
              <w:bottom w:val="single" w:sz="4" w:space="0" w:color="auto"/>
              <w:right w:val="single" w:sz="4" w:space="0" w:color="auto"/>
            </w:tcBorders>
            <w:vAlign w:val="center"/>
          </w:tcPr>
          <w:p w:rsidR="00E21452" w:rsidRPr="00E60AC2" w:rsidRDefault="00E21452" w:rsidP="007E33E3">
            <w:pPr>
              <w:jc w:val="center"/>
              <w:rPr>
                <w:rFonts w:ascii="Verdana" w:hAnsi="Verdana"/>
                <w:b/>
                <w:i/>
                <w:sz w:val="16"/>
                <w:szCs w:val="16"/>
              </w:rPr>
            </w:pPr>
            <w:r w:rsidRPr="00E60AC2">
              <w:rPr>
                <w:rFonts w:ascii="Verdana" w:hAnsi="Verdana"/>
                <w:b/>
                <w:i/>
                <w:sz w:val="16"/>
                <w:szCs w:val="16"/>
              </w:rPr>
              <w:t>Fre</w:t>
            </w:r>
            <w:r w:rsidR="00312A5F" w:rsidRPr="00E60AC2">
              <w:rPr>
                <w:rFonts w:ascii="Verdana" w:hAnsi="Verdana"/>
                <w:b/>
                <w:i/>
                <w:sz w:val="16"/>
                <w:szCs w:val="16"/>
              </w:rPr>
              <w:t>-</w:t>
            </w:r>
            <w:r w:rsidRPr="00E60AC2">
              <w:rPr>
                <w:rFonts w:ascii="Verdana" w:hAnsi="Verdana"/>
                <w:b/>
                <w:i/>
                <w:sz w:val="16"/>
                <w:szCs w:val="16"/>
              </w:rPr>
              <w:t>que</w:t>
            </w:r>
            <w:r w:rsidR="00312A5F" w:rsidRPr="00E60AC2">
              <w:rPr>
                <w:rFonts w:ascii="Verdana" w:hAnsi="Verdana"/>
                <w:b/>
                <w:i/>
                <w:sz w:val="16"/>
                <w:szCs w:val="16"/>
              </w:rPr>
              <w:t>n</w:t>
            </w:r>
            <w:r w:rsidRPr="00E60AC2">
              <w:rPr>
                <w:rFonts w:ascii="Verdana" w:hAnsi="Verdana"/>
                <w:b/>
                <w:i/>
                <w:sz w:val="16"/>
                <w:szCs w:val="16"/>
              </w:rPr>
              <w:t>cy of reporting</w:t>
            </w:r>
          </w:p>
        </w:tc>
      </w:tr>
      <w:tr w:rsidR="00E21452" w:rsidRPr="00E60AC2" w:rsidTr="00E60AC2">
        <w:tc>
          <w:tcPr>
            <w:tcW w:w="700"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b/>
                <w:i/>
                <w:sz w:val="16"/>
                <w:szCs w:val="16"/>
              </w:rPr>
            </w:pPr>
            <w:r w:rsidRPr="00E60AC2">
              <w:rPr>
                <w:rFonts w:ascii="Verdana" w:hAnsi="Verdana"/>
                <w:b/>
                <w:i/>
                <w:sz w:val="16"/>
                <w:szCs w:val="16"/>
              </w:rPr>
              <w:t xml:space="preserve">1 Urban practitioners in cities have increased their knowledge and capacity in relation to integrated approaches to sustainable development; they are more able to respond to changing circumstances, working with all stakeholders, using new organisational models and tools. </w:t>
            </w:r>
          </w:p>
        </w:tc>
        <w:tc>
          <w:tcPr>
            <w:tcW w:w="1003" w:type="pct"/>
            <w:tcBorders>
              <w:top w:val="single" w:sz="4" w:space="0" w:color="auto"/>
              <w:left w:val="single" w:sz="4" w:space="0" w:color="auto"/>
              <w:bottom w:val="single" w:sz="4" w:space="0" w:color="auto"/>
              <w:right w:val="single" w:sz="4" w:space="0" w:color="auto"/>
            </w:tcBorders>
          </w:tcPr>
          <w:p w:rsidR="00544197" w:rsidRPr="00E60AC2" w:rsidRDefault="00AF5A00" w:rsidP="00135F1C">
            <w:pPr>
              <w:pStyle w:val="Paragraphedeliste3"/>
              <w:spacing w:before="120"/>
              <w:ind w:left="121"/>
              <w:rPr>
                <w:rFonts w:ascii="Verdana" w:hAnsi="Verdana"/>
                <w:sz w:val="16"/>
                <w:szCs w:val="16"/>
              </w:rPr>
            </w:pPr>
            <w:r w:rsidRPr="00E60AC2">
              <w:rPr>
                <w:rFonts w:ascii="Verdana" w:hAnsi="Verdana"/>
                <w:sz w:val="16"/>
                <w:szCs w:val="16"/>
              </w:rPr>
              <w:t xml:space="preserve">Participants in URBACT capacity-building activities who </w:t>
            </w:r>
            <w:r w:rsidR="00544197" w:rsidRPr="00E60AC2">
              <w:rPr>
                <w:rFonts w:ascii="Verdana" w:hAnsi="Verdana"/>
                <w:sz w:val="16"/>
                <w:szCs w:val="16"/>
              </w:rPr>
              <w:t xml:space="preserve">, in the field of sustainable urban development, </w:t>
            </w:r>
            <w:r w:rsidRPr="00E60AC2">
              <w:rPr>
                <w:rFonts w:ascii="Verdana" w:hAnsi="Verdana"/>
                <w:sz w:val="16"/>
                <w:szCs w:val="16"/>
              </w:rPr>
              <w:t>have increased their capacity in relation to</w:t>
            </w:r>
            <w:r w:rsidR="00544197" w:rsidRPr="00E60AC2">
              <w:rPr>
                <w:rFonts w:ascii="Verdana" w:hAnsi="Verdana"/>
                <w:sz w:val="16"/>
                <w:szCs w:val="16"/>
              </w:rPr>
              <w:t>:</w:t>
            </w:r>
          </w:p>
          <w:p w:rsidR="00544197" w:rsidRPr="00E60AC2" w:rsidRDefault="00AF5A00" w:rsidP="00135F1C">
            <w:pPr>
              <w:pStyle w:val="Paragraphedeliste3"/>
              <w:numPr>
                <w:ilvl w:val="0"/>
                <w:numId w:val="21"/>
              </w:numPr>
              <w:spacing w:before="120"/>
              <w:ind w:left="556" w:hanging="425"/>
              <w:rPr>
                <w:rFonts w:ascii="Verdana" w:hAnsi="Verdana"/>
                <w:i/>
                <w:sz w:val="16"/>
                <w:szCs w:val="16"/>
              </w:rPr>
            </w:pPr>
            <w:r w:rsidRPr="00E60AC2">
              <w:rPr>
                <w:rFonts w:ascii="Verdana" w:hAnsi="Verdana"/>
                <w:sz w:val="16"/>
                <w:szCs w:val="16"/>
              </w:rPr>
              <w:t>integrated and participatory action-planning,</w:t>
            </w:r>
            <w:r w:rsidR="00544197" w:rsidRPr="00E60AC2">
              <w:rPr>
                <w:rFonts w:ascii="Verdana" w:hAnsi="Verdana"/>
                <w:sz w:val="16"/>
                <w:szCs w:val="16"/>
              </w:rPr>
              <w:t>;</w:t>
            </w:r>
          </w:p>
          <w:p w:rsidR="00544197" w:rsidRPr="00E60AC2" w:rsidRDefault="00AF5A00" w:rsidP="00135F1C">
            <w:pPr>
              <w:pStyle w:val="Paragraphedeliste3"/>
              <w:numPr>
                <w:ilvl w:val="0"/>
                <w:numId w:val="21"/>
              </w:numPr>
              <w:spacing w:before="120"/>
              <w:ind w:left="556" w:hanging="425"/>
              <w:rPr>
                <w:rFonts w:ascii="Verdana" w:hAnsi="Verdana"/>
                <w:i/>
                <w:sz w:val="16"/>
                <w:szCs w:val="16"/>
              </w:rPr>
            </w:pPr>
            <w:r w:rsidRPr="00E60AC2">
              <w:rPr>
                <w:rFonts w:ascii="Verdana" w:hAnsi="Verdana"/>
                <w:sz w:val="16"/>
                <w:szCs w:val="16"/>
              </w:rPr>
              <w:t>working across departments and with relevant stakeholders</w:t>
            </w:r>
            <w:r w:rsidR="00544197" w:rsidRPr="00E60AC2">
              <w:rPr>
                <w:rFonts w:ascii="Verdana" w:hAnsi="Verdana"/>
                <w:sz w:val="16"/>
                <w:szCs w:val="16"/>
              </w:rPr>
              <w:t>;</w:t>
            </w:r>
            <w:r w:rsidRPr="00E60AC2">
              <w:rPr>
                <w:rFonts w:ascii="Verdana" w:hAnsi="Verdana"/>
                <w:sz w:val="16"/>
                <w:szCs w:val="16"/>
              </w:rPr>
              <w:t xml:space="preserve"> and</w:t>
            </w:r>
          </w:p>
          <w:p w:rsidR="00E73A82" w:rsidRPr="00E60AC2" w:rsidRDefault="00AF5A00" w:rsidP="00135F1C">
            <w:pPr>
              <w:pStyle w:val="Paragraphedeliste3"/>
              <w:numPr>
                <w:ilvl w:val="0"/>
                <w:numId w:val="21"/>
              </w:numPr>
              <w:spacing w:before="120"/>
              <w:ind w:left="556" w:hanging="425"/>
              <w:rPr>
                <w:rFonts w:ascii="Verdana" w:hAnsi="Verdana"/>
                <w:i/>
                <w:sz w:val="16"/>
                <w:szCs w:val="16"/>
              </w:rPr>
            </w:pPr>
            <w:r w:rsidRPr="00E60AC2">
              <w:rPr>
                <w:rFonts w:ascii="Verdana" w:hAnsi="Verdana"/>
                <w:sz w:val="16"/>
                <w:szCs w:val="16"/>
              </w:rPr>
              <w:t>project management</w:t>
            </w:r>
            <w:r w:rsidR="00544197" w:rsidRPr="00E60AC2">
              <w:rPr>
                <w:rFonts w:ascii="Verdana" w:hAnsi="Verdana"/>
                <w:sz w:val="16"/>
                <w:szCs w:val="16"/>
              </w:rPr>
              <w:t>.</w:t>
            </w:r>
          </w:p>
        </w:tc>
        <w:tc>
          <w:tcPr>
            <w:tcW w:w="461"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i/>
                <w:sz w:val="16"/>
                <w:szCs w:val="16"/>
              </w:rPr>
            </w:pPr>
            <w:r w:rsidRPr="00E60AC2">
              <w:rPr>
                <w:rFonts w:ascii="Verdana" w:hAnsi="Verdana"/>
                <w:i/>
                <w:sz w:val="16"/>
                <w:szCs w:val="16"/>
              </w:rPr>
              <w:t>Number of participants</w:t>
            </w:r>
          </w:p>
        </w:tc>
        <w:tc>
          <w:tcPr>
            <w:tcW w:w="573" w:type="pct"/>
            <w:tcBorders>
              <w:top w:val="single" w:sz="4" w:space="0" w:color="auto"/>
              <w:left w:val="single" w:sz="4" w:space="0" w:color="auto"/>
              <w:bottom w:val="single" w:sz="4" w:space="0" w:color="auto"/>
              <w:right w:val="single" w:sz="4" w:space="0" w:color="auto"/>
            </w:tcBorders>
          </w:tcPr>
          <w:p w:rsidR="00E73A82" w:rsidRPr="00E60AC2" w:rsidRDefault="00E21452" w:rsidP="00135F1C">
            <w:pPr>
              <w:spacing w:before="120"/>
              <w:jc w:val="center"/>
              <w:rPr>
                <w:rFonts w:ascii="Verdana" w:hAnsi="Verdana"/>
                <w:i/>
                <w:sz w:val="16"/>
                <w:szCs w:val="16"/>
              </w:rPr>
            </w:pPr>
            <w:r w:rsidRPr="00E60AC2">
              <w:rPr>
                <w:rFonts w:ascii="Verdana" w:hAnsi="Verdana"/>
                <w:i/>
                <w:sz w:val="16"/>
                <w:szCs w:val="16"/>
              </w:rPr>
              <w:t>tbd</w:t>
            </w:r>
          </w:p>
        </w:tc>
        <w:tc>
          <w:tcPr>
            <w:tcW w:w="332" w:type="pct"/>
            <w:tcBorders>
              <w:top w:val="single" w:sz="4" w:space="0" w:color="auto"/>
              <w:left w:val="single" w:sz="4" w:space="0" w:color="auto"/>
              <w:bottom w:val="single" w:sz="4" w:space="0" w:color="auto"/>
              <w:right w:val="single" w:sz="4" w:space="0" w:color="auto"/>
            </w:tcBorders>
          </w:tcPr>
          <w:p w:rsidR="00E73A82" w:rsidRPr="00E60AC2" w:rsidRDefault="00E21452" w:rsidP="00135F1C">
            <w:pPr>
              <w:spacing w:before="120"/>
              <w:jc w:val="center"/>
              <w:rPr>
                <w:rFonts w:ascii="Verdana" w:hAnsi="Verdana"/>
                <w:i/>
                <w:sz w:val="16"/>
                <w:szCs w:val="16"/>
              </w:rPr>
            </w:pPr>
            <w:r w:rsidRPr="00E60AC2">
              <w:rPr>
                <w:rFonts w:ascii="Verdana" w:hAnsi="Verdana"/>
                <w:i/>
                <w:sz w:val="16"/>
                <w:szCs w:val="16"/>
              </w:rPr>
              <w:t>2015</w:t>
            </w:r>
          </w:p>
        </w:tc>
        <w:tc>
          <w:tcPr>
            <w:tcW w:w="758"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i/>
                <w:sz w:val="16"/>
                <w:szCs w:val="16"/>
              </w:rPr>
            </w:pPr>
            <w:r w:rsidRPr="00E60AC2">
              <w:rPr>
                <w:rFonts w:ascii="Verdana" w:hAnsi="Verdana"/>
                <w:i/>
                <w:sz w:val="16"/>
                <w:szCs w:val="16"/>
              </w:rPr>
              <w:t>1.8</w:t>
            </w:r>
            <w:r w:rsidR="00AC3B80" w:rsidRPr="00E60AC2">
              <w:rPr>
                <w:rFonts w:ascii="Verdana" w:hAnsi="Verdana"/>
                <w:i/>
                <w:sz w:val="16"/>
                <w:szCs w:val="16"/>
              </w:rPr>
              <w:t>0</w:t>
            </w:r>
            <w:r w:rsidRPr="00E60AC2">
              <w:rPr>
                <w:rFonts w:ascii="Verdana" w:hAnsi="Verdana"/>
                <w:i/>
                <w:sz w:val="16"/>
                <w:szCs w:val="16"/>
              </w:rPr>
              <w:t>0 participants</w:t>
            </w:r>
          </w:p>
          <w:p w:rsidR="00E21452" w:rsidRPr="00E60AC2" w:rsidRDefault="00E21452" w:rsidP="00135F1C">
            <w:pPr>
              <w:spacing w:before="120"/>
              <w:rPr>
                <w:rFonts w:ascii="Verdana" w:hAnsi="Verdana"/>
                <w:i/>
                <w:sz w:val="16"/>
                <w:szCs w:val="16"/>
              </w:rPr>
            </w:pPr>
          </w:p>
          <w:p w:rsidR="00E21452" w:rsidRPr="00E60AC2" w:rsidRDefault="00E21452" w:rsidP="00135F1C">
            <w:pPr>
              <w:spacing w:before="120"/>
              <w:rPr>
                <w:rFonts w:ascii="Verdana" w:hAnsi="Verdana"/>
                <w:i/>
                <w:sz w:val="16"/>
                <w:szCs w:val="16"/>
              </w:rPr>
            </w:pPr>
            <w:r w:rsidRPr="00E60AC2">
              <w:rPr>
                <w:rFonts w:ascii="Verdana" w:hAnsi="Verdana"/>
                <w:i/>
                <w:sz w:val="16"/>
                <w:szCs w:val="16"/>
              </w:rPr>
              <w:t>Based on 70% of participants reporting increased professional capacity and a target audience of 2600 participants counted as outlined above</w:t>
            </w:r>
          </w:p>
        </w:tc>
        <w:tc>
          <w:tcPr>
            <w:tcW w:w="799" w:type="pct"/>
            <w:tcBorders>
              <w:top w:val="single" w:sz="4" w:space="0" w:color="auto"/>
              <w:left w:val="single" w:sz="4" w:space="0" w:color="auto"/>
              <w:bottom w:val="single" w:sz="4" w:space="0" w:color="auto"/>
              <w:right w:val="single" w:sz="4" w:space="0" w:color="auto"/>
            </w:tcBorders>
          </w:tcPr>
          <w:p w:rsidR="00AF5A00" w:rsidRPr="00E60AC2" w:rsidRDefault="00E21452" w:rsidP="00135F1C">
            <w:pPr>
              <w:spacing w:before="120"/>
              <w:rPr>
                <w:rFonts w:ascii="Verdana" w:hAnsi="Verdana"/>
                <w:i/>
                <w:sz w:val="16"/>
                <w:szCs w:val="16"/>
              </w:rPr>
            </w:pPr>
            <w:r w:rsidRPr="00E60AC2">
              <w:rPr>
                <w:rFonts w:ascii="Verdana" w:hAnsi="Verdana"/>
                <w:i/>
                <w:sz w:val="16"/>
                <w:szCs w:val="16"/>
              </w:rPr>
              <w:t xml:space="preserve">Standardised self-assessment of individuals involved in all 3 types of networks and </w:t>
            </w:r>
            <w:r w:rsidR="00AF5A00" w:rsidRPr="00E60AC2">
              <w:rPr>
                <w:rFonts w:ascii="Verdana" w:hAnsi="Verdana"/>
                <w:i/>
                <w:sz w:val="16"/>
                <w:szCs w:val="16"/>
              </w:rPr>
              <w:t xml:space="preserve">participating in </w:t>
            </w:r>
            <w:r w:rsidRPr="00E60AC2">
              <w:rPr>
                <w:rFonts w:ascii="Verdana" w:hAnsi="Verdana"/>
                <w:i/>
                <w:sz w:val="16"/>
                <w:szCs w:val="16"/>
              </w:rPr>
              <w:t>capacity-building actions for each round of networks</w:t>
            </w:r>
            <w:r w:rsidR="00AF5A00" w:rsidRPr="00E60AC2">
              <w:rPr>
                <w:rFonts w:ascii="Verdana" w:hAnsi="Verdana"/>
                <w:i/>
                <w:sz w:val="16"/>
                <w:szCs w:val="16"/>
              </w:rPr>
              <w:t xml:space="preserve">. The self-assessment will focus on capacities related to: 1) integrated action-planning; 2) participatory action-planning; 3) working across departments; 4) working with a wide range of stakeholders ; </w:t>
            </w:r>
            <w:r w:rsidR="00544197" w:rsidRPr="00E60AC2">
              <w:rPr>
                <w:rFonts w:ascii="Verdana" w:hAnsi="Verdana"/>
                <w:i/>
                <w:sz w:val="16"/>
                <w:szCs w:val="16"/>
              </w:rPr>
              <w:t>5</w:t>
            </w:r>
            <w:r w:rsidR="00AF5A00" w:rsidRPr="00E60AC2">
              <w:rPr>
                <w:rFonts w:ascii="Verdana" w:hAnsi="Verdana"/>
                <w:i/>
                <w:sz w:val="16"/>
                <w:szCs w:val="16"/>
              </w:rPr>
              <w:t>) project management in the field of sustainable urban development</w:t>
            </w:r>
          </w:p>
        </w:tc>
        <w:tc>
          <w:tcPr>
            <w:tcW w:w="374"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i/>
                <w:sz w:val="16"/>
                <w:szCs w:val="16"/>
              </w:rPr>
            </w:pPr>
            <w:r w:rsidRPr="00E60AC2">
              <w:rPr>
                <w:rFonts w:ascii="Verdana" w:hAnsi="Verdana"/>
                <w:i/>
                <w:sz w:val="16"/>
                <w:szCs w:val="16"/>
              </w:rPr>
              <w:t>Every two years</w:t>
            </w:r>
          </w:p>
        </w:tc>
      </w:tr>
    </w:tbl>
    <w:p w:rsidR="00E60AC2" w:rsidRDefault="00E60AC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3000"/>
        <w:gridCol w:w="1379"/>
        <w:gridCol w:w="1433"/>
        <w:gridCol w:w="1068"/>
        <w:gridCol w:w="2892"/>
        <w:gridCol w:w="1971"/>
        <w:gridCol w:w="1119"/>
      </w:tblGrid>
      <w:tr w:rsidR="00E21452" w:rsidRPr="00E60AC2" w:rsidTr="00E60AC2">
        <w:tc>
          <w:tcPr>
            <w:tcW w:w="700"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b/>
                <w:i/>
                <w:sz w:val="16"/>
                <w:szCs w:val="16"/>
              </w:rPr>
            </w:pPr>
            <w:r w:rsidRPr="00E60AC2">
              <w:rPr>
                <w:rFonts w:ascii="Verdana" w:hAnsi="Verdana"/>
                <w:b/>
                <w:i/>
                <w:sz w:val="16"/>
                <w:szCs w:val="16"/>
              </w:rPr>
              <w:t xml:space="preserve">2 Cities have designed integrated strategies and action plans for sustainable urban development drawing on EU good practice </w:t>
            </w:r>
          </w:p>
        </w:tc>
        <w:tc>
          <w:tcPr>
            <w:tcW w:w="1003"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sz w:val="16"/>
                <w:szCs w:val="16"/>
              </w:rPr>
            </w:pPr>
            <w:r w:rsidRPr="00E60AC2">
              <w:rPr>
                <w:rFonts w:ascii="Verdana" w:hAnsi="Verdana"/>
                <w:sz w:val="16"/>
                <w:szCs w:val="16"/>
              </w:rPr>
              <w:t>2a) Number of cities having produced integrated strategies and action plans with the URBACT method</w:t>
            </w:r>
            <w:r w:rsidR="002743BC" w:rsidRPr="00E60AC2">
              <w:rPr>
                <w:rStyle w:val="a5"/>
                <w:rFonts w:ascii="Verdana" w:hAnsi="Verdana"/>
                <w:sz w:val="16"/>
                <w:szCs w:val="16"/>
              </w:rPr>
              <w:footnoteReference w:id="27"/>
            </w:r>
            <w:r w:rsidR="00544197" w:rsidRPr="00E60AC2">
              <w:rPr>
                <w:rFonts w:ascii="Verdana" w:hAnsi="Verdana"/>
                <w:sz w:val="16"/>
                <w:szCs w:val="16"/>
              </w:rPr>
              <w:t>.</w:t>
            </w:r>
          </w:p>
          <w:p w:rsidR="00544197" w:rsidRPr="00E60AC2" w:rsidRDefault="00544197" w:rsidP="00135F1C">
            <w:pPr>
              <w:spacing w:before="120"/>
              <w:rPr>
                <w:rFonts w:ascii="Verdana" w:hAnsi="Verdana"/>
                <w:sz w:val="16"/>
                <w:szCs w:val="16"/>
              </w:rPr>
            </w:pPr>
          </w:p>
          <w:p w:rsidR="00E21452" w:rsidRPr="00E60AC2" w:rsidRDefault="00E21452" w:rsidP="00135F1C">
            <w:pPr>
              <w:spacing w:before="120"/>
              <w:rPr>
                <w:rFonts w:ascii="Verdana" w:hAnsi="Verdana"/>
                <w:i/>
                <w:sz w:val="16"/>
                <w:szCs w:val="16"/>
              </w:rPr>
            </w:pPr>
            <w:r w:rsidRPr="00E60AC2">
              <w:rPr>
                <w:rFonts w:ascii="Verdana" w:hAnsi="Verdana"/>
                <w:i/>
                <w:sz w:val="16"/>
                <w:szCs w:val="16"/>
              </w:rPr>
              <w:t xml:space="preserve">Integration </w:t>
            </w:r>
            <w:r w:rsidR="00153C37" w:rsidRPr="00E60AC2">
              <w:rPr>
                <w:rFonts w:ascii="Verdana" w:hAnsi="Verdana"/>
                <w:i/>
                <w:sz w:val="16"/>
                <w:szCs w:val="16"/>
              </w:rPr>
              <w:t>will be</w:t>
            </w:r>
            <w:r w:rsidRPr="00E60AC2">
              <w:rPr>
                <w:rFonts w:ascii="Verdana" w:hAnsi="Verdana"/>
                <w:i/>
                <w:sz w:val="16"/>
                <w:szCs w:val="16"/>
              </w:rPr>
              <w:t xml:space="preserve"> measured through </w:t>
            </w:r>
            <w:r w:rsidR="00153C37" w:rsidRPr="00E60AC2">
              <w:rPr>
                <w:rFonts w:ascii="Verdana" w:hAnsi="Verdana"/>
                <w:i/>
                <w:sz w:val="16"/>
                <w:szCs w:val="16"/>
              </w:rPr>
              <w:t xml:space="preserve">the following </w:t>
            </w:r>
            <w:r w:rsidRPr="00E60AC2">
              <w:rPr>
                <w:rFonts w:ascii="Verdana" w:hAnsi="Verdana"/>
                <w:i/>
                <w:sz w:val="16"/>
                <w:szCs w:val="16"/>
              </w:rPr>
              <w:t>questions</w:t>
            </w:r>
            <w:r w:rsidR="00153C37" w:rsidRPr="00E60AC2">
              <w:rPr>
                <w:rFonts w:ascii="Verdana" w:hAnsi="Verdana"/>
                <w:i/>
                <w:sz w:val="16"/>
                <w:szCs w:val="16"/>
              </w:rPr>
              <w:t>:</w:t>
            </w:r>
            <w:r w:rsidR="009C0966" w:rsidRPr="00E60AC2">
              <w:rPr>
                <w:rFonts w:ascii="Verdana" w:hAnsi="Verdana"/>
                <w:i/>
                <w:sz w:val="16"/>
                <w:szCs w:val="16"/>
              </w:rPr>
              <w:t xml:space="preserve"> </w:t>
            </w:r>
            <w:r w:rsidR="00153C37" w:rsidRPr="00E60AC2">
              <w:rPr>
                <w:rFonts w:ascii="Verdana" w:hAnsi="Verdana"/>
                <w:i/>
                <w:sz w:val="16"/>
                <w:szCs w:val="16"/>
              </w:rPr>
              <w:t xml:space="preserve">was the </w:t>
            </w:r>
            <w:r w:rsidR="00544197" w:rsidRPr="00E60AC2">
              <w:rPr>
                <w:rFonts w:ascii="Verdana" w:hAnsi="Verdana"/>
                <w:i/>
                <w:sz w:val="16"/>
                <w:szCs w:val="16"/>
              </w:rPr>
              <w:t>integrated strategy/</w:t>
            </w:r>
            <w:r w:rsidR="00153C37" w:rsidRPr="00E60AC2">
              <w:rPr>
                <w:rFonts w:ascii="Verdana" w:hAnsi="Verdana"/>
                <w:i/>
                <w:sz w:val="16"/>
                <w:szCs w:val="16"/>
              </w:rPr>
              <w:t>action plan produced involving different departments within the municipality?</w:t>
            </w:r>
            <w:r w:rsidRPr="00E60AC2">
              <w:rPr>
                <w:rFonts w:ascii="Verdana" w:hAnsi="Verdana"/>
                <w:i/>
                <w:sz w:val="16"/>
                <w:szCs w:val="16"/>
              </w:rPr>
              <w:t xml:space="preserve"> </w:t>
            </w:r>
            <w:r w:rsidR="00544197" w:rsidRPr="00E60AC2">
              <w:rPr>
                <w:rFonts w:ascii="Verdana" w:hAnsi="Verdana"/>
                <w:i/>
                <w:sz w:val="16"/>
                <w:szCs w:val="16"/>
              </w:rPr>
              <w:t>W</w:t>
            </w:r>
            <w:r w:rsidR="00153C37" w:rsidRPr="00E60AC2">
              <w:rPr>
                <w:rFonts w:ascii="Verdana" w:hAnsi="Verdana"/>
                <w:i/>
                <w:sz w:val="16"/>
                <w:szCs w:val="16"/>
              </w:rPr>
              <w:t>ill</w:t>
            </w:r>
            <w:r w:rsidRPr="00E60AC2">
              <w:rPr>
                <w:rFonts w:ascii="Verdana" w:hAnsi="Verdana"/>
                <w:i/>
                <w:sz w:val="16"/>
                <w:szCs w:val="16"/>
              </w:rPr>
              <w:t xml:space="preserve"> the</w:t>
            </w:r>
            <w:r w:rsidR="00153C37" w:rsidRPr="00E60AC2">
              <w:rPr>
                <w:rFonts w:ascii="Verdana" w:hAnsi="Verdana"/>
                <w:i/>
                <w:sz w:val="16"/>
                <w:szCs w:val="16"/>
              </w:rPr>
              <w:t xml:space="preserve"> implementation of the</w:t>
            </w:r>
            <w:r w:rsidRPr="00E60AC2">
              <w:rPr>
                <w:rFonts w:ascii="Verdana" w:hAnsi="Verdana"/>
                <w:i/>
                <w:sz w:val="16"/>
                <w:szCs w:val="16"/>
              </w:rPr>
              <w:t xml:space="preserve"> </w:t>
            </w:r>
            <w:r w:rsidR="00544197" w:rsidRPr="00E60AC2">
              <w:rPr>
                <w:rFonts w:ascii="Verdana" w:hAnsi="Verdana"/>
                <w:i/>
                <w:sz w:val="16"/>
                <w:szCs w:val="16"/>
              </w:rPr>
              <w:t>strategy/</w:t>
            </w:r>
            <w:r w:rsidRPr="00E60AC2">
              <w:rPr>
                <w:rFonts w:ascii="Verdana" w:hAnsi="Verdana"/>
                <w:i/>
                <w:sz w:val="16"/>
                <w:szCs w:val="16"/>
              </w:rPr>
              <w:t>action plan require different departments and/or agencies to work together? Does it link hard and soft actions? Does it combine environment, economic and social aspects?</w:t>
            </w:r>
          </w:p>
        </w:tc>
        <w:tc>
          <w:tcPr>
            <w:tcW w:w="461"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i/>
                <w:sz w:val="16"/>
                <w:szCs w:val="16"/>
              </w:rPr>
            </w:pPr>
            <w:r w:rsidRPr="00E60AC2">
              <w:rPr>
                <w:rFonts w:ascii="Verdana" w:hAnsi="Verdana"/>
                <w:i/>
                <w:sz w:val="16"/>
                <w:szCs w:val="16"/>
              </w:rPr>
              <w:t>Number of cities having produced integrated strategies and action plans with the URBACT method</w:t>
            </w:r>
          </w:p>
        </w:tc>
        <w:tc>
          <w:tcPr>
            <w:tcW w:w="479" w:type="pct"/>
            <w:tcBorders>
              <w:top w:val="single" w:sz="4" w:space="0" w:color="auto"/>
              <w:left w:val="single" w:sz="4" w:space="0" w:color="auto"/>
              <w:bottom w:val="single" w:sz="4" w:space="0" w:color="auto"/>
              <w:right w:val="single" w:sz="4" w:space="0" w:color="auto"/>
            </w:tcBorders>
          </w:tcPr>
          <w:p w:rsidR="00E21452" w:rsidRPr="00E60AC2" w:rsidRDefault="002E5CA7" w:rsidP="00135F1C">
            <w:pPr>
              <w:spacing w:before="120"/>
              <w:rPr>
                <w:rFonts w:ascii="Verdana" w:hAnsi="Verdana"/>
                <w:sz w:val="16"/>
                <w:szCs w:val="16"/>
              </w:rPr>
            </w:pPr>
            <w:r w:rsidRPr="00E60AC2">
              <w:rPr>
                <w:rFonts w:ascii="Verdana" w:hAnsi="Verdana"/>
                <w:sz w:val="16"/>
                <w:szCs w:val="16"/>
              </w:rPr>
              <w:t xml:space="preserve">The </w:t>
            </w:r>
            <w:r w:rsidR="00540CDE" w:rsidRPr="00E60AC2">
              <w:rPr>
                <w:rFonts w:ascii="Verdana" w:hAnsi="Verdana"/>
                <w:sz w:val="16"/>
                <w:szCs w:val="16"/>
              </w:rPr>
              <w:t xml:space="preserve">compound </w:t>
            </w:r>
            <w:r w:rsidRPr="00E60AC2">
              <w:rPr>
                <w:rFonts w:ascii="Verdana" w:hAnsi="Verdana"/>
                <w:sz w:val="16"/>
                <w:szCs w:val="16"/>
              </w:rPr>
              <w:t>baseline value will be determined by means of survey among cities partners in Action-planning networks approved under the 1</w:t>
            </w:r>
            <w:r w:rsidRPr="00E60AC2">
              <w:rPr>
                <w:rFonts w:ascii="Verdana" w:hAnsi="Verdana"/>
                <w:sz w:val="16"/>
                <w:szCs w:val="16"/>
                <w:vertAlign w:val="superscript"/>
              </w:rPr>
              <w:t>st</w:t>
            </w:r>
            <w:r w:rsidRPr="00E60AC2">
              <w:rPr>
                <w:rFonts w:ascii="Verdana" w:hAnsi="Verdana"/>
                <w:sz w:val="16"/>
                <w:szCs w:val="16"/>
              </w:rPr>
              <w:t xml:space="preserve"> call for proposals. It may be subject to review following the 2</w:t>
            </w:r>
            <w:r w:rsidRPr="00E60AC2">
              <w:rPr>
                <w:rFonts w:ascii="Verdana" w:hAnsi="Verdana"/>
                <w:sz w:val="16"/>
                <w:szCs w:val="16"/>
                <w:vertAlign w:val="superscript"/>
              </w:rPr>
              <w:t>nd</w:t>
            </w:r>
            <w:r w:rsidRPr="00E60AC2">
              <w:rPr>
                <w:rFonts w:ascii="Verdana" w:hAnsi="Verdana"/>
                <w:sz w:val="16"/>
                <w:szCs w:val="16"/>
              </w:rPr>
              <w:t xml:space="preserve"> call for proposals </w:t>
            </w:r>
            <w:r w:rsidR="00540CDE" w:rsidRPr="00E60AC2">
              <w:rPr>
                <w:rFonts w:ascii="Verdana" w:hAnsi="Verdana"/>
                <w:sz w:val="16"/>
                <w:szCs w:val="16"/>
              </w:rPr>
              <w:t xml:space="preserve">(based on a weighted average depending on the number of cities in each call) </w:t>
            </w:r>
            <w:r w:rsidRPr="00E60AC2">
              <w:rPr>
                <w:rFonts w:ascii="Verdana" w:hAnsi="Verdana"/>
                <w:sz w:val="16"/>
                <w:szCs w:val="16"/>
              </w:rPr>
              <w:t>and involvement of new cities</w:t>
            </w:r>
          </w:p>
          <w:p w:rsidR="00540CDE" w:rsidRPr="00E60AC2" w:rsidRDefault="00540CDE" w:rsidP="00135F1C">
            <w:pPr>
              <w:spacing w:before="120"/>
              <w:rPr>
                <w:rFonts w:ascii="Verdana" w:hAnsi="Verdana"/>
                <w:i/>
                <w:sz w:val="16"/>
                <w:szCs w:val="16"/>
              </w:rPr>
            </w:pPr>
            <w:r w:rsidRPr="00E60AC2">
              <w:rPr>
                <w:rFonts w:ascii="Verdana" w:hAnsi="Verdana"/>
                <w:sz w:val="16"/>
                <w:szCs w:val="16"/>
              </w:rPr>
              <w:t>First version April 2016 second  December 2017 (or 12 months after call whichever is later)</w:t>
            </w:r>
          </w:p>
        </w:tc>
        <w:tc>
          <w:tcPr>
            <w:tcW w:w="357"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i/>
                <w:sz w:val="16"/>
                <w:szCs w:val="16"/>
              </w:rPr>
            </w:pPr>
            <w:r w:rsidRPr="00E60AC2">
              <w:rPr>
                <w:rFonts w:ascii="Verdana" w:hAnsi="Verdana"/>
                <w:i/>
                <w:sz w:val="16"/>
                <w:szCs w:val="16"/>
              </w:rPr>
              <w:t>2015</w:t>
            </w:r>
          </w:p>
        </w:tc>
        <w:tc>
          <w:tcPr>
            <w:tcW w:w="967"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i/>
                <w:sz w:val="16"/>
                <w:szCs w:val="16"/>
              </w:rPr>
            </w:pPr>
            <w:r w:rsidRPr="00E60AC2">
              <w:rPr>
                <w:rFonts w:ascii="Verdana" w:hAnsi="Verdana"/>
                <w:i/>
                <w:sz w:val="16"/>
                <w:szCs w:val="16"/>
              </w:rPr>
              <w:t>220 cities</w:t>
            </w:r>
          </w:p>
          <w:p w:rsidR="00E21452" w:rsidRPr="00E60AC2" w:rsidRDefault="00E21452" w:rsidP="00135F1C">
            <w:pPr>
              <w:spacing w:before="120"/>
              <w:rPr>
                <w:rFonts w:ascii="Verdana" w:hAnsi="Verdana"/>
                <w:i/>
                <w:sz w:val="16"/>
                <w:szCs w:val="16"/>
              </w:rPr>
            </w:pPr>
          </w:p>
          <w:p w:rsidR="00E21452" w:rsidRPr="00E60AC2" w:rsidRDefault="00E21452" w:rsidP="00135F1C">
            <w:pPr>
              <w:spacing w:before="120"/>
              <w:rPr>
                <w:rFonts w:ascii="Verdana" w:hAnsi="Verdana"/>
                <w:i/>
                <w:sz w:val="16"/>
                <w:szCs w:val="16"/>
              </w:rPr>
            </w:pPr>
            <w:r w:rsidRPr="00E60AC2">
              <w:rPr>
                <w:rFonts w:ascii="Verdana" w:hAnsi="Verdana"/>
                <w:i/>
                <w:sz w:val="16"/>
                <w:szCs w:val="16"/>
              </w:rPr>
              <w:t>Based on estimate that 60% of cities involved in the 40 action-planning networks (i.e. 360 cities out of 400 partners</w:t>
            </w:r>
            <w:r w:rsidRPr="00E60AC2">
              <w:rPr>
                <w:rStyle w:val="a5"/>
                <w:rFonts w:ascii="Verdana" w:eastAsia="Calibri" w:hAnsi="Verdana"/>
                <w:i/>
                <w:sz w:val="16"/>
                <w:szCs w:val="16"/>
              </w:rPr>
              <w:footnoteReference w:id="28"/>
            </w:r>
            <w:r w:rsidRPr="00E60AC2">
              <w:rPr>
                <w:rFonts w:ascii="Verdana" w:hAnsi="Verdana"/>
                <w:i/>
                <w:sz w:val="16"/>
                <w:szCs w:val="16"/>
              </w:rPr>
              <w:t>) will produce actually integrated strategies and action plans</w:t>
            </w:r>
            <w:r w:rsidR="002A1E5A" w:rsidRPr="00E60AC2">
              <w:rPr>
                <w:rFonts w:ascii="Verdana" w:hAnsi="Verdana"/>
                <w:i/>
                <w:sz w:val="16"/>
                <w:szCs w:val="16"/>
              </w:rPr>
              <w:t>. May be subject to review following establishment of baseline value as a result of the networks approved under the 1</w:t>
            </w:r>
            <w:r w:rsidR="002E5CA7" w:rsidRPr="00E60AC2">
              <w:rPr>
                <w:rFonts w:ascii="Verdana" w:hAnsi="Verdana"/>
                <w:i/>
                <w:sz w:val="16"/>
                <w:szCs w:val="16"/>
                <w:vertAlign w:val="superscript"/>
              </w:rPr>
              <w:t>st</w:t>
            </w:r>
            <w:r w:rsidR="002A1E5A" w:rsidRPr="00E60AC2">
              <w:rPr>
                <w:rFonts w:ascii="Verdana" w:hAnsi="Verdana"/>
                <w:i/>
                <w:sz w:val="16"/>
                <w:szCs w:val="16"/>
              </w:rPr>
              <w:t xml:space="preserve"> call for proposals</w:t>
            </w:r>
          </w:p>
        </w:tc>
        <w:tc>
          <w:tcPr>
            <w:tcW w:w="659" w:type="pct"/>
            <w:tcBorders>
              <w:top w:val="single" w:sz="4" w:space="0" w:color="auto"/>
              <w:left w:val="single" w:sz="4" w:space="0" w:color="auto"/>
              <w:bottom w:val="single" w:sz="4" w:space="0" w:color="auto"/>
              <w:right w:val="single" w:sz="4" w:space="0" w:color="auto"/>
            </w:tcBorders>
          </w:tcPr>
          <w:p w:rsidR="00E21452" w:rsidRPr="00E60AC2" w:rsidRDefault="0029014E" w:rsidP="00135F1C">
            <w:pPr>
              <w:spacing w:before="120"/>
              <w:rPr>
                <w:rFonts w:ascii="Verdana" w:hAnsi="Verdana"/>
                <w:i/>
                <w:sz w:val="16"/>
                <w:szCs w:val="16"/>
              </w:rPr>
            </w:pPr>
            <w:r w:rsidRPr="00E60AC2">
              <w:rPr>
                <w:rFonts w:ascii="Verdana" w:hAnsi="Verdana"/>
                <w:i/>
                <w:sz w:val="16"/>
                <w:szCs w:val="16"/>
              </w:rPr>
              <w:t>Self-assessment</w:t>
            </w:r>
            <w:r w:rsidR="00E21452" w:rsidRPr="00E60AC2">
              <w:rPr>
                <w:rFonts w:ascii="Verdana" w:hAnsi="Verdana"/>
                <w:i/>
                <w:sz w:val="16"/>
                <w:szCs w:val="16"/>
              </w:rPr>
              <w:t xml:space="preserve"> check by network coordinator in partner city, based on integration questions</w:t>
            </w:r>
          </w:p>
        </w:tc>
        <w:tc>
          <w:tcPr>
            <w:tcW w:w="374"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i/>
                <w:sz w:val="16"/>
                <w:szCs w:val="16"/>
              </w:rPr>
            </w:pPr>
            <w:r w:rsidRPr="00E60AC2">
              <w:rPr>
                <w:rFonts w:ascii="Verdana" w:hAnsi="Verdana"/>
                <w:i/>
                <w:sz w:val="16"/>
                <w:szCs w:val="16"/>
              </w:rPr>
              <w:t>Once per round of action-planning network</w:t>
            </w:r>
          </w:p>
        </w:tc>
      </w:tr>
      <w:tr w:rsidR="00E21452" w:rsidRPr="00E60AC2" w:rsidTr="00E60AC2">
        <w:trPr>
          <w:trHeight w:val="3097"/>
        </w:trPr>
        <w:tc>
          <w:tcPr>
            <w:tcW w:w="700"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b/>
                <w:i/>
                <w:sz w:val="16"/>
                <w:szCs w:val="16"/>
              </w:rPr>
            </w:pPr>
            <w:r w:rsidRPr="00E60AC2">
              <w:rPr>
                <w:rFonts w:ascii="Verdana" w:hAnsi="Verdana"/>
                <w:b/>
                <w:i/>
                <w:sz w:val="16"/>
                <w:szCs w:val="16"/>
              </w:rPr>
              <w:t xml:space="preserve">3  Cities improve the implementation of integrated plans for sustainable urban development </w:t>
            </w:r>
          </w:p>
        </w:tc>
        <w:tc>
          <w:tcPr>
            <w:tcW w:w="1003" w:type="pct"/>
            <w:tcBorders>
              <w:top w:val="single" w:sz="4" w:space="0" w:color="auto"/>
              <w:left w:val="single" w:sz="4" w:space="0" w:color="auto"/>
              <w:bottom w:val="single" w:sz="4" w:space="0" w:color="auto"/>
              <w:right w:val="single" w:sz="4" w:space="0" w:color="auto"/>
            </w:tcBorders>
          </w:tcPr>
          <w:p w:rsidR="00E73A82" w:rsidRPr="00E60AC2" w:rsidRDefault="00413A4B" w:rsidP="00135F1C">
            <w:pPr>
              <w:spacing w:before="120"/>
              <w:ind w:left="121"/>
              <w:rPr>
                <w:rFonts w:ascii="Verdana" w:hAnsi="Verdana"/>
                <w:sz w:val="16"/>
                <w:szCs w:val="16"/>
              </w:rPr>
            </w:pPr>
            <w:r w:rsidRPr="00E60AC2">
              <w:rPr>
                <w:rFonts w:ascii="Verdana" w:hAnsi="Verdana"/>
                <w:sz w:val="16"/>
                <w:szCs w:val="16"/>
              </w:rPr>
              <w:t>3a) Number of cities supported by URBACT III improving the implementation by achieving key milestones respecting the timeline set in their integrated strategies or action plans</w:t>
            </w:r>
          </w:p>
          <w:p w:rsidR="00E21452" w:rsidRPr="00E60AC2" w:rsidRDefault="00E21452" w:rsidP="00135F1C">
            <w:pPr>
              <w:spacing w:before="120"/>
              <w:rPr>
                <w:rFonts w:ascii="Verdana" w:hAnsi="Verdana"/>
                <w:b/>
                <w:i/>
                <w:iCs/>
                <w:sz w:val="16"/>
                <w:szCs w:val="16"/>
              </w:rPr>
            </w:pPr>
          </w:p>
          <w:p w:rsidR="00E21452" w:rsidRPr="00E60AC2" w:rsidRDefault="00E21452" w:rsidP="00135F1C">
            <w:pPr>
              <w:spacing w:before="120"/>
              <w:rPr>
                <w:rFonts w:ascii="Verdana" w:hAnsi="Verdana"/>
                <w:i/>
                <w:iCs/>
                <w:sz w:val="16"/>
                <w:szCs w:val="16"/>
              </w:rPr>
            </w:pPr>
            <w:r w:rsidRPr="00E60AC2">
              <w:rPr>
                <w:rFonts w:ascii="Verdana" w:hAnsi="Verdana"/>
                <w:i/>
                <w:iCs/>
                <w:sz w:val="16"/>
                <w:szCs w:val="16"/>
              </w:rPr>
              <w:t>Milestones</w:t>
            </w:r>
            <w:r w:rsidR="00540CDE" w:rsidRPr="00E60AC2">
              <w:rPr>
                <w:rStyle w:val="a5"/>
                <w:rFonts w:ascii="Verdana" w:hAnsi="Verdana"/>
                <w:i/>
                <w:iCs/>
                <w:sz w:val="16"/>
                <w:szCs w:val="16"/>
              </w:rPr>
              <w:footnoteReference w:id="29"/>
            </w:r>
            <w:r w:rsidRPr="00E60AC2">
              <w:rPr>
                <w:rFonts w:ascii="Verdana" w:hAnsi="Verdana"/>
                <w:i/>
                <w:iCs/>
                <w:sz w:val="16"/>
                <w:szCs w:val="16"/>
              </w:rPr>
              <w:t xml:space="preserve"> </w:t>
            </w:r>
            <w:r w:rsidR="00540CDE" w:rsidRPr="00E60AC2">
              <w:rPr>
                <w:rFonts w:ascii="Verdana" w:hAnsi="Verdana"/>
                <w:i/>
                <w:iCs/>
                <w:sz w:val="16"/>
                <w:szCs w:val="16"/>
              </w:rPr>
              <w:t xml:space="preserve">for key steps in the delivery of projects in the action plan </w:t>
            </w:r>
            <w:r w:rsidRPr="00E60AC2">
              <w:rPr>
                <w:rFonts w:ascii="Verdana" w:hAnsi="Verdana"/>
                <w:i/>
                <w:iCs/>
                <w:sz w:val="16"/>
                <w:szCs w:val="16"/>
              </w:rPr>
              <w:t>will be set out in the baseline analysis</w:t>
            </w:r>
            <w:r w:rsidR="00540CDE" w:rsidRPr="00E60AC2">
              <w:rPr>
                <w:rFonts w:ascii="Verdana" w:hAnsi="Verdana"/>
                <w:i/>
                <w:iCs/>
                <w:sz w:val="16"/>
                <w:szCs w:val="16"/>
              </w:rPr>
              <w:t xml:space="preserve"> for each </w:t>
            </w:r>
            <w:r w:rsidR="0029014E" w:rsidRPr="00E60AC2">
              <w:rPr>
                <w:rFonts w:ascii="Verdana" w:hAnsi="Verdana"/>
                <w:i/>
                <w:iCs/>
                <w:sz w:val="16"/>
                <w:szCs w:val="16"/>
              </w:rPr>
              <w:t>city and</w:t>
            </w:r>
            <w:r w:rsidRPr="00E60AC2">
              <w:rPr>
                <w:rFonts w:ascii="Verdana" w:hAnsi="Verdana"/>
                <w:i/>
                <w:iCs/>
                <w:sz w:val="16"/>
                <w:szCs w:val="16"/>
              </w:rPr>
              <w:t xml:space="preserve"> will be structured as a Gantt chart with months along x axis and achievements in y axis.  1 quarter overrun will be permitted</w:t>
            </w:r>
          </w:p>
        </w:tc>
        <w:tc>
          <w:tcPr>
            <w:tcW w:w="461"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i/>
                <w:sz w:val="16"/>
                <w:szCs w:val="16"/>
              </w:rPr>
            </w:pPr>
            <w:r w:rsidRPr="00E60AC2">
              <w:rPr>
                <w:rFonts w:ascii="Verdana" w:hAnsi="Verdana"/>
                <w:i/>
                <w:sz w:val="16"/>
                <w:szCs w:val="16"/>
              </w:rPr>
              <w:t xml:space="preserve">number of cities </w:t>
            </w:r>
          </w:p>
        </w:tc>
        <w:tc>
          <w:tcPr>
            <w:tcW w:w="479"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i/>
                <w:sz w:val="16"/>
                <w:szCs w:val="16"/>
              </w:rPr>
            </w:pPr>
            <w:r w:rsidRPr="00E60AC2">
              <w:rPr>
                <w:rFonts w:ascii="Verdana" w:hAnsi="Verdana"/>
                <w:i/>
                <w:sz w:val="16"/>
                <w:szCs w:val="16"/>
              </w:rPr>
              <w:t>0</w:t>
            </w:r>
          </w:p>
        </w:tc>
        <w:tc>
          <w:tcPr>
            <w:tcW w:w="357"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i/>
                <w:sz w:val="16"/>
                <w:szCs w:val="16"/>
              </w:rPr>
            </w:pPr>
            <w:r w:rsidRPr="00E60AC2">
              <w:rPr>
                <w:rFonts w:ascii="Verdana" w:hAnsi="Verdana"/>
                <w:i/>
                <w:sz w:val="16"/>
                <w:szCs w:val="16"/>
              </w:rPr>
              <w:t>2015</w:t>
            </w:r>
          </w:p>
        </w:tc>
        <w:tc>
          <w:tcPr>
            <w:tcW w:w="967"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i/>
                <w:sz w:val="16"/>
                <w:szCs w:val="16"/>
              </w:rPr>
            </w:pPr>
            <w:r w:rsidRPr="00E60AC2">
              <w:rPr>
                <w:rFonts w:ascii="Verdana" w:hAnsi="Verdana"/>
                <w:i/>
                <w:sz w:val="16"/>
                <w:szCs w:val="16"/>
              </w:rPr>
              <w:t>66 cities</w:t>
            </w:r>
          </w:p>
          <w:p w:rsidR="00E21452" w:rsidRPr="00E60AC2" w:rsidRDefault="00E21452" w:rsidP="00135F1C">
            <w:pPr>
              <w:spacing w:before="120"/>
              <w:rPr>
                <w:rFonts w:ascii="Verdana" w:hAnsi="Verdana"/>
                <w:i/>
                <w:sz w:val="16"/>
                <w:szCs w:val="16"/>
              </w:rPr>
            </w:pPr>
          </w:p>
          <w:p w:rsidR="00E21452" w:rsidRPr="00E60AC2" w:rsidRDefault="00E21452" w:rsidP="00135F1C">
            <w:pPr>
              <w:spacing w:before="120"/>
              <w:rPr>
                <w:rFonts w:ascii="Verdana" w:hAnsi="Verdana"/>
                <w:i/>
                <w:sz w:val="16"/>
                <w:szCs w:val="16"/>
              </w:rPr>
            </w:pPr>
            <w:r w:rsidRPr="00E60AC2">
              <w:rPr>
                <w:rFonts w:ascii="Verdana" w:hAnsi="Verdana"/>
                <w:i/>
                <w:sz w:val="16"/>
                <w:szCs w:val="16"/>
              </w:rPr>
              <w:t>Based on estimate of 60% of partner cities involved implementation networks (110 cities out of 120 partners</w:t>
            </w:r>
            <w:r w:rsidRPr="00E60AC2">
              <w:rPr>
                <w:rStyle w:val="a5"/>
                <w:rFonts w:ascii="Verdana" w:eastAsia="Calibri" w:hAnsi="Verdana"/>
                <w:i/>
                <w:sz w:val="16"/>
                <w:szCs w:val="16"/>
              </w:rPr>
              <w:footnoteReference w:id="30"/>
            </w:r>
            <w:r w:rsidRPr="00E60AC2">
              <w:rPr>
                <w:rFonts w:ascii="Verdana" w:hAnsi="Verdana"/>
                <w:i/>
                <w:sz w:val="16"/>
                <w:szCs w:val="16"/>
              </w:rPr>
              <w:t>)</w:t>
            </w:r>
          </w:p>
        </w:tc>
        <w:tc>
          <w:tcPr>
            <w:tcW w:w="659"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i/>
                <w:sz w:val="16"/>
                <w:szCs w:val="16"/>
              </w:rPr>
            </w:pPr>
            <w:r w:rsidRPr="00E60AC2">
              <w:rPr>
                <w:rFonts w:ascii="Verdana" w:hAnsi="Verdana"/>
                <w:i/>
                <w:sz w:val="16"/>
                <w:szCs w:val="16"/>
              </w:rPr>
              <w:t xml:space="preserve">Analysis of monitoring data in progress reports </w:t>
            </w:r>
          </w:p>
        </w:tc>
        <w:tc>
          <w:tcPr>
            <w:tcW w:w="374"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i/>
                <w:sz w:val="16"/>
                <w:szCs w:val="16"/>
              </w:rPr>
            </w:pPr>
            <w:r w:rsidRPr="00E60AC2">
              <w:rPr>
                <w:rFonts w:ascii="Verdana" w:hAnsi="Verdana"/>
                <w:i/>
                <w:sz w:val="16"/>
                <w:szCs w:val="16"/>
              </w:rPr>
              <w:t xml:space="preserve"> Once per round</w:t>
            </w:r>
          </w:p>
        </w:tc>
      </w:tr>
      <w:tr w:rsidR="00E21452" w:rsidRPr="00E60AC2" w:rsidTr="00E60AC2">
        <w:trPr>
          <w:trHeight w:val="1401"/>
        </w:trPr>
        <w:tc>
          <w:tcPr>
            <w:tcW w:w="700" w:type="pct"/>
            <w:tcBorders>
              <w:top w:val="single" w:sz="4" w:space="0" w:color="auto"/>
              <w:left w:val="single" w:sz="4" w:space="0" w:color="auto"/>
              <w:bottom w:val="single" w:sz="4" w:space="0" w:color="auto"/>
              <w:right w:val="single" w:sz="4" w:space="0" w:color="auto"/>
            </w:tcBorders>
            <w:vAlign w:val="center"/>
          </w:tcPr>
          <w:p w:rsidR="00E21452" w:rsidRPr="00E60AC2" w:rsidRDefault="00E21452" w:rsidP="00E21452">
            <w:pPr>
              <w:rPr>
                <w:rFonts w:ascii="Verdana" w:hAnsi="Verdana"/>
                <w:b/>
                <w:sz w:val="16"/>
                <w:szCs w:val="16"/>
              </w:rPr>
            </w:pPr>
          </w:p>
        </w:tc>
        <w:tc>
          <w:tcPr>
            <w:tcW w:w="1003"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sz w:val="16"/>
                <w:szCs w:val="16"/>
              </w:rPr>
            </w:pPr>
            <w:r w:rsidRPr="00E60AC2">
              <w:rPr>
                <w:rFonts w:ascii="Verdana" w:hAnsi="Verdana"/>
                <w:sz w:val="16"/>
                <w:szCs w:val="16"/>
              </w:rPr>
              <w:t>3b) Number of cities having re-used</w:t>
            </w:r>
            <w:r w:rsidR="00CC65DB" w:rsidRPr="00E60AC2">
              <w:rPr>
                <w:rStyle w:val="a5"/>
                <w:rFonts w:ascii="Verdana" w:hAnsi="Verdana"/>
                <w:sz w:val="16"/>
                <w:szCs w:val="16"/>
              </w:rPr>
              <w:footnoteReference w:id="31"/>
            </w:r>
            <w:r w:rsidRPr="00E60AC2">
              <w:rPr>
                <w:rFonts w:ascii="Verdana" w:hAnsi="Verdana"/>
                <w:sz w:val="16"/>
                <w:szCs w:val="16"/>
              </w:rPr>
              <w:t xml:space="preserve"> a good practice </w:t>
            </w:r>
            <w:r w:rsidR="00CC65DB" w:rsidRPr="00E60AC2">
              <w:rPr>
                <w:rStyle w:val="a5"/>
                <w:rFonts w:ascii="Verdana" w:hAnsi="Verdana"/>
                <w:sz w:val="16"/>
                <w:szCs w:val="16"/>
              </w:rPr>
              <w:footnoteReference w:id="32"/>
            </w:r>
            <w:r w:rsidRPr="00E60AC2">
              <w:rPr>
                <w:rFonts w:ascii="Verdana" w:hAnsi="Verdana"/>
                <w:sz w:val="16"/>
                <w:szCs w:val="16"/>
              </w:rPr>
              <w:t>in the perspective of improving the implementation of integrated plans for sustainable urban development</w:t>
            </w:r>
          </w:p>
        </w:tc>
        <w:tc>
          <w:tcPr>
            <w:tcW w:w="461"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i/>
                <w:sz w:val="16"/>
                <w:szCs w:val="16"/>
              </w:rPr>
            </w:pPr>
            <w:r w:rsidRPr="00E60AC2">
              <w:rPr>
                <w:rFonts w:ascii="Verdana" w:hAnsi="Verdana"/>
                <w:i/>
                <w:sz w:val="16"/>
                <w:szCs w:val="16"/>
              </w:rPr>
              <w:t>Number of cities</w:t>
            </w:r>
          </w:p>
        </w:tc>
        <w:tc>
          <w:tcPr>
            <w:tcW w:w="479"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i/>
                <w:sz w:val="16"/>
                <w:szCs w:val="16"/>
              </w:rPr>
            </w:pPr>
            <w:r w:rsidRPr="00E60AC2">
              <w:rPr>
                <w:rFonts w:ascii="Verdana" w:hAnsi="Verdana"/>
                <w:i/>
                <w:sz w:val="16"/>
                <w:szCs w:val="16"/>
              </w:rPr>
              <w:t>0</w:t>
            </w:r>
          </w:p>
        </w:tc>
        <w:tc>
          <w:tcPr>
            <w:tcW w:w="357"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i/>
                <w:sz w:val="16"/>
                <w:szCs w:val="16"/>
              </w:rPr>
            </w:pPr>
            <w:r w:rsidRPr="00E60AC2">
              <w:rPr>
                <w:rFonts w:ascii="Verdana" w:hAnsi="Verdana"/>
                <w:i/>
                <w:sz w:val="16"/>
                <w:szCs w:val="16"/>
              </w:rPr>
              <w:t>2015</w:t>
            </w:r>
          </w:p>
        </w:tc>
        <w:tc>
          <w:tcPr>
            <w:tcW w:w="967"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i/>
                <w:sz w:val="16"/>
                <w:szCs w:val="16"/>
              </w:rPr>
            </w:pPr>
            <w:r w:rsidRPr="00E60AC2">
              <w:rPr>
                <w:rFonts w:ascii="Verdana" w:hAnsi="Verdana"/>
                <w:i/>
                <w:sz w:val="16"/>
                <w:szCs w:val="16"/>
              </w:rPr>
              <w:t>50 cities</w:t>
            </w:r>
          </w:p>
          <w:p w:rsidR="00E21452" w:rsidRPr="00E60AC2" w:rsidRDefault="00E21452" w:rsidP="00135F1C">
            <w:pPr>
              <w:spacing w:before="120"/>
              <w:rPr>
                <w:rFonts w:ascii="Verdana" w:hAnsi="Verdana"/>
                <w:i/>
                <w:sz w:val="16"/>
                <w:szCs w:val="16"/>
              </w:rPr>
            </w:pPr>
          </w:p>
          <w:p w:rsidR="00E21452" w:rsidRPr="00E60AC2" w:rsidRDefault="00E21452" w:rsidP="00135F1C">
            <w:pPr>
              <w:spacing w:before="120"/>
              <w:rPr>
                <w:rFonts w:ascii="Verdana" w:hAnsi="Verdana"/>
                <w:i/>
                <w:sz w:val="16"/>
                <w:szCs w:val="16"/>
              </w:rPr>
            </w:pPr>
            <w:r w:rsidRPr="00E60AC2">
              <w:rPr>
                <w:rFonts w:ascii="Verdana" w:hAnsi="Verdana"/>
                <w:i/>
                <w:sz w:val="16"/>
                <w:szCs w:val="16"/>
              </w:rPr>
              <w:t>Based on estimate of 70% of cities involved in transfer networks (75 “receiving cities out of 90 partner cities in total) having re-used a good practice with supporting evidence of achieved results</w:t>
            </w:r>
          </w:p>
        </w:tc>
        <w:tc>
          <w:tcPr>
            <w:tcW w:w="659" w:type="pct"/>
            <w:tcBorders>
              <w:top w:val="single" w:sz="4" w:space="0" w:color="auto"/>
              <w:left w:val="single" w:sz="4" w:space="0" w:color="auto"/>
              <w:bottom w:val="single" w:sz="4" w:space="0" w:color="auto"/>
              <w:right w:val="single" w:sz="4" w:space="0" w:color="auto"/>
            </w:tcBorders>
          </w:tcPr>
          <w:p w:rsidR="00E21452" w:rsidRPr="00E60AC2" w:rsidRDefault="002E5CA7" w:rsidP="00135F1C">
            <w:pPr>
              <w:spacing w:before="120"/>
              <w:rPr>
                <w:rFonts w:ascii="Verdana" w:hAnsi="Verdana"/>
                <w:i/>
                <w:sz w:val="16"/>
                <w:szCs w:val="16"/>
              </w:rPr>
            </w:pPr>
            <w:r w:rsidRPr="00E60AC2">
              <w:rPr>
                <w:rFonts w:ascii="Verdana" w:hAnsi="Verdana"/>
                <w:i/>
                <w:sz w:val="16"/>
                <w:szCs w:val="16"/>
              </w:rPr>
              <w:t>Follow up survey of partner cities 12 months after completion of transfer network</w:t>
            </w:r>
          </w:p>
        </w:tc>
        <w:tc>
          <w:tcPr>
            <w:tcW w:w="374" w:type="pct"/>
            <w:tcBorders>
              <w:top w:val="single" w:sz="4" w:space="0" w:color="auto"/>
              <w:left w:val="single" w:sz="4" w:space="0" w:color="auto"/>
              <w:bottom w:val="single" w:sz="4" w:space="0" w:color="auto"/>
              <w:right w:val="single" w:sz="4" w:space="0" w:color="auto"/>
            </w:tcBorders>
          </w:tcPr>
          <w:p w:rsidR="00E21452" w:rsidRPr="00E60AC2" w:rsidRDefault="00E21452" w:rsidP="00135F1C">
            <w:pPr>
              <w:spacing w:before="120"/>
              <w:rPr>
                <w:rFonts w:ascii="Verdana" w:hAnsi="Verdana"/>
                <w:i/>
                <w:sz w:val="16"/>
                <w:szCs w:val="16"/>
              </w:rPr>
            </w:pPr>
            <w:r w:rsidRPr="00E60AC2">
              <w:rPr>
                <w:rFonts w:ascii="Verdana" w:hAnsi="Verdana"/>
                <w:i/>
                <w:sz w:val="16"/>
                <w:szCs w:val="16"/>
              </w:rPr>
              <w:t>Once per round</w:t>
            </w:r>
            <w:r w:rsidR="00297911" w:rsidRPr="00E60AC2">
              <w:rPr>
                <w:rFonts w:ascii="Verdana" w:hAnsi="Verdana"/>
                <w:i/>
                <w:sz w:val="16"/>
                <w:szCs w:val="16"/>
              </w:rPr>
              <w:t xml:space="preserve"> of transfer networks</w:t>
            </w:r>
          </w:p>
        </w:tc>
      </w:tr>
      <w:tr w:rsidR="00E21452" w:rsidRPr="00E60AC2" w:rsidTr="00E60AC2">
        <w:trPr>
          <w:trHeight w:val="1401"/>
        </w:trPr>
        <w:tc>
          <w:tcPr>
            <w:tcW w:w="700" w:type="pct"/>
            <w:tcBorders>
              <w:top w:val="single" w:sz="4" w:space="0" w:color="auto"/>
              <w:left w:val="single" w:sz="4" w:space="0" w:color="auto"/>
              <w:bottom w:val="single" w:sz="4" w:space="0" w:color="auto"/>
              <w:right w:val="single" w:sz="4" w:space="0" w:color="auto"/>
            </w:tcBorders>
          </w:tcPr>
          <w:p w:rsidR="00E21452" w:rsidRPr="00E60AC2" w:rsidRDefault="00E21452" w:rsidP="003B7BFA">
            <w:pPr>
              <w:spacing w:before="120"/>
              <w:rPr>
                <w:rFonts w:ascii="Verdana" w:hAnsi="Verdana"/>
                <w:b/>
                <w:sz w:val="16"/>
                <w:szCs w:val="16"/>
              </w:rPr>
            </w:pPr>
            <w:r w:rsidRPr="00E60AC2">
              <w:rPr>
                <w:rFonts w:ascii="Verdana" w:hAnsi="Verdana"/>
                <w:b/>
                <w:sz w:val="16"/>
                <w:szCs w:val="16"/>
              </w:rPr>
              <w:t xml:space="preserve">4 </w:t>
            </w:r>
            <w:r w:rsidR="002E5CA7" w:rsidRPr="00E60AC2">
              <w:rPr>
                <w:rFonts w:ascii="Verdana" w:hAnsi="Verdana"/>
                <w:b/>
                <w:sz w:val="16"/>
                <w:szCs w:val="16"/>
              </w:rPr>
              <w:t>Practitioners and decision makers at all levels (EU, national, regional and local) have increased access to URBACT thematic knowledge and share know-how on sustainable urban development</w:t>
            </w:r>
          </w:p>
        </w:tc>
        <w:tc>
          <w:tcPr>
            <w:tcW w:w="1003" w:type="pct"/>
            <w:tcBorders>
              <w:top w:val="single" w:sz="4" w:space="0" w:color="auto"/>
              <w:left w:val="single" w:sz="4" w:space="0" w:color="auto"/>
              <w:bottom w:val="single" w:sz="4" w:space="0" w:color="auto"/>
              <w:right w:val="single" w:sz="4" w:space="0" w:color="auto"/>
            </w:tcBorders>
          </w:tcPr>
          <w:p w:rsidR="00E21452" w:rsidRPr="00E60AC2" w:rsidRDefault="009C0966" w:rsidP="003B7BFA">
            <w:pPr>
              <w:spacing w:before="120"/>
              <w:rPr>
                <w:rFonts w:ascii="Verdana" w:hAnsi="Verdana"/>
                <w:sz w:val="16"/>
                <w:szCs w:val="16"/>
              </w:rPr>
            </w:pPr>
            <w:r w:rsidRPr="00E60AC2">
              <w:rPr>
                <w:rFonts w:ascii="Verdana" w:hAnsi="Verdana"/>
                <w:sz w:val="16"/>
                <w:szCs w:val="16"/>
              </w:rPr>
              <w:t>4)</w:t>
            </w:r>
            <w:r w:rsidR="002E5CA7" w:rsidRPr="00E60AC2">
              <w:rPr>
                <w:rFonts w:ascii="Verdana" w:hAnsi="Verdana"/>
                <w:sz w:val="16"/>
                <w:szCs w:val="16"/>
              </w:rPr>
              <w:t>-</w:t>
            </w:r>
            <w:r w:rsidR="00E21452" w:rsidRPr="00E60AC2">
              <w:rPr>
                <w:rFonts w:ascii="Verdana" w:hAnsi="Verdana"/>
                <w:sz w:val="16"/>
                <w:szCs w:val="16"/>
              </w:rPr>
              <w:t xml:space="preserve"> number of decision-makers and practitioners </w:t>
            </w:r>
            <w:r w:rsidR="006B5486" w:rsidRPr="00E60AC2">
              <w:rPr>
                <w:rFonts w:ascii="Verdana" w:hAnsi="Verdana"/>
                <w:sz w:val="16"/>
                <w:szCs w:val="16"/>
              </w:rPr>
              <w:t xml:space="preserve">at all levels (EU, national, regional and local) </w:t>
            </w:r>
            <w:r w:rsidR="00E21452" w:rsidRPr="00E60AC2">
              <w:rPr>
                <w:rFonts w:ascii="Verdana" w:hAnsi="Verdana"/>
                <w:sz w:val="16"/>
                <w:szCs w:val="16"/>
              </w:rPr>
              <w:t xml:space="preserve">who have used URBACT </w:t>
            </w:r>
            <w:r w:rsidR="006B5486" w:rsidRPr="00E60AC2">
              <w:rPr>
                <w:rFonts w:ascii="Verdana" w:hAnsi="Verdana"/>
                <w:sz w:val="16"/>
                <w:szCs w:val="16"/>
              </w:rPr>
              <w:t>thematic</w:t>
            </w:r>
            <w:r w:rsidR="00C57447" w:rsidRPr="00E60AC2">
              <w:rPr>
                <w:rFonts w:ascii="Verdana" w:hAnsi="Verdana"/>
                <w:sz w:val="16"/>
                <w:szCs w:val="16"/>
              </w:rPr>
              <w:t xml:space="preserve"> knowledge </w:t>
            </w:r>
            <w:r w:rsidR="00E21452" w:rsidRPr="00E60AC2">
              <w:rPr>
                <w:rFonts w:ascii="Verdana" w:hAnsi="Verdana"/>
                <w:sz w:val="16"/>
                <w:szCs w:val="16"/>
              </w:rPr>
              <w:t xml:space="preserve">about sustainable urban development </w:t>
            </w:r>
            <w:r w:rsidR="006B5486" w:rsidRPr="00E60AC2">
              <w:rPr>
                <w:rFonts w:ascii="Verdana" w:hAnsi="Verdana"/>
                <w:sz w:val="16"/>
                <w:szCs w:val="16"/>
              </w:rPr>
              <w:t>in their work</w:t>
            </w:r>
          </w:p>
          <w:p w:rsidR="00E21452" w:rsidRPr="00E60AC2" w:rsidRDefault="00E21452" w:rsidP="003B7BFA">
            <w:pPr>
              <w:spacing w:before="120"/>
              <w:rPr>
                <w:rFonts w:ascii="Verdana" w:hAnsi="Verdana"/>
                <w:i/>
                <w:sz w:val="16"/>
                <w:szCs w:val="16"/>
              </w:rPr>
            </w:pPr>
          </w:p>
        </w:tc>
        <w:tc>
          <w:tcPr>
            <w:tcW w:w="461" w:type="pct"/>
            <w:tcBorders>
              <w:top w:val="single" w:sz="4" w:space="0" w:color="auto"/>
              <w:left w:val="single" w:sz="4" w:space="0" w:color="auto"/>
              <w:bottom w:val="single" w:sz="4" w:space="0" w:color="auto"/>
              <w:right w:val="single" w:sz="4" w:space="0" w:color="auto"/>
            </w:tcBorders>
          </w:tcPr>
          <w:p w:rsidR="00E21452" w:rsidRPr="00E60AC2" w:rsidRDefault="00E21452" w:rsidP="003B7BFA">
            <w:pPr>
              <w:spacing w:before="120"/>
              <w:rPr>
                <w:rFonts w:ascii="Verdana" w:hAnsi="Verdana"/>
                <w:i/>
                <w:sz w:val="16"/>
                <w:szCs w:val="16"/>
              </w:rPr>
            </w:pPr>
            <w:r w:rsidRPr="00E60AC2">
              <w:rPr>
                <w:rFonts w:ascii="Verdana" w:hAnsi="Verdana"/>
                <w:i/>
                <w:sz w:val="16"/>
                <w:szCs w:val="16"/>
              </w:rPr>
              <w:t>Number of decision-makers and practitioners</w:t>
            </w:r>
          </w:p>
        </w:tc>
        <w:tc>
          <w:tcPr>
            <w:tcW w:w="479" w:type="pct"/>
            <w:tcBorders>
              <w:top w:val="single" w:sz="4" w:space="0" w:color="auto"/>
              <w:left w:val="single" w:sz="4" w:space="0" w:color="auto"/>
              <w:bottom w:val="single" w:sz="4" w:space="0" w:color="auto"/>
              <w:right w:val="single" w:sz="4" w:space="0" w:color="auto"/>
            </w:tcBorders>
          </w:tcPr>
          <w:p w:rsidR="00E21452" w:rsidRPr="00E60AC2" w:rsidRDefault="00E21452" w:rsidP="003B7BFA">
            <w:pPr>
              <w:spacing w:before="120"/>
              <w:rPr>
                <w:rFonts w:ascii="Verdana" w:hAnsi="Verdana"/>
                <w:i/>
                <w:sz w:val="16"/>
                <w:szCs w:val="16"/>
              </w:rPr>
            </w:pPr>
            <w:r w:rsidRPr="00E60AC2">
              <w:rPr>
                <w:rFonts w:ascii="Verdana" w:hAnsi="Verdana"/>
                <w:i/>
                <w:sz w:val="16"/>
                <w:szCs w:val="16"/>
              </w:rPr>
              <w:t>Baseline to be determined by means of survey among non-URBACT partners receiving Newsletter, involved in social media activities</w:t>
            </w:r>
            <w:r w:rsidR="00192BF2" w:rsidRPr="00E60AC2">
              <w:rPr>
                <w:rFonts w:ascii="Verdana" w:hAnsi="Verdana"/>
                <w:i/>
                <w:sz w:val="16"/>
                <w:szCs w:val="16"/>
              </w:rPr>
              <w:t xml:space="preserve"> by July 2015</w:t>
            </w:r>
          </w:p>
        </w:tc>
        <w:tc>
          <w:tcPr>
            <w:tcW w:w="357" w:type="pct"/>
            <w:tcBorders>
              <w:top w:val="single" w:sz="4" w:space="0" w:color="auto"/>
              <w:left w:val="single" w:sz="4" w:space="0" w:color="auto"/>
              <w:bottom w:val="single" w:sz="4" w:space="0" w:color="auto"/>
              <w:right w:val="single" w:sz="4" w:space="0" w:color="auto"/>
            </w:tcBorders>
          </w:tcPr>
          <w:p w:rsidR="00E21452" w:rsidRPr="00E60AC2" w:rsidRDefault="00E21452" w:rsidP="003B7BFA">
            <w:pPr>
              <w:spacing w:before="120"/>
              <w:rPr>
                <w:rFonts w:ascii="Verdana" w:hAnsi="Verdana"/>
                <w:i/>
                <w:sz w:val="16"/>
                <w:szCs w:val="16"/>
              </w:rPr>
            </w:pPr>
            <w:r w:rsidRPr="00E60AC2">
              <w:rPr>
                <w:rFonts w:ascii="Verdana" w:hAnsi="Verdana"/>
                <w:i/>
                <w:sz w:val="16"/>
                <w:szCs w:val="16"/>
              </w:rPr>
              <w:t>2015</w:t>
            </w:r>
          </w:p>
        </w:tc>
        <w:tc>
          <w:tcPr>
            <w:tcW w:w="967" w:type="pct"/>
            <w:tcBorders>
              <w:top w:val="single" w:sz="4" w:space="0" w:color="auto"/>
              <w:left w:val="single" w:sz="4" w:space="0" w:color="auto"/>
              <w:bottom w:val="single" w:sz="4" w:space="0" w:color="auto"/>
              <w:right w:val="single" w:sz="4" w:space="0" w:color="auto"/>
            </w:tcBorders>
          </w:tcPr>
          <w:p w:rsidR="00E21452" w:rsidRPr="00E60AC2" w:rsidRDefault="00E21452" w:rsidP="003B7BFA">
            <w:pPr>
              <w:spacing w:before="120"/>
              <w:rPr>
                <w:rFonts w:ascii="Verdana" w:hAnsi="Verdana"/>
                <w:i/>
                <w:sz w:val="16"/>
                <w:szCs w:val="16"/>
              </w:rPr>
            </w:pPr>
            <w:r w:rsidRPr="00E60AC2">
              <w:rPr>
                <w:rFonts w:ascii="Verdana" w:hAnsi="Verdana"/>
                <w:i/>
                <w:sz w:val="16"/>
                <w:szCs w:val="16"/>
              </w:rPr>
              <w:t>400 decision makers and practitioners</w:t>
            </w:r>
          </w:p>
        </w:tc>
        <w:tc>
          <w:tcPr>
            <w:tcW w:w="659" w:type="pct"/>
            <w:tcBorders>
              <w:top w:val="single" w:sz="4" w:space="0" w:color="auto"/>
              <w:left w:val="single" w:sz="4" w:space="0" w:color="auto"/>
              <w:bottom w:val="single" w:sz="4" w:space="0" w:color="auto"/>
              <w:right w:val="single" w:sz="4" w:space="0" w:color="auto"/>
            </w:tcBorders>
          </w:tcPr>
          <w:p w:rsidR="00E21452" w:rsidRPr="00E60AC2" w:rsidRDefault="00E21452" w:rsidP="003B7BFA">
            <w:pPr>
              <w:spacing w:before="120"/>
              <w:rPr>
                <w:rFonts w:ascii="Verdana" w:hAnsi="Verdana"/>
                <w:i/>
                <w:sz w:val="16"/>
                <w:szCs w:val="16"/>
              </w:rPr>
            </w:pPr>
            <w:r w:rsidRPr="00E60AC2">
              <w:rPr>
                <w:rFonts w:ascii="Verdana" w:hAnsi="Verdana"/>
                <w:i/>
                <w:sz w:val="16"/>
                <w:szCs w:val="16"/>
              </w:rPr>
              <w:t>Survey of registered web, newsletter, twitter and LinkedIn users that are not involved in URBACT networks</w:t>
            </w:r>
          </w:p>
          <w:p w:rsidR="00E21452" w:rsidRPr="00E60AC2" w:rsidRDefault="00E21452" w:rsidP="003B7BFA">
            <w:pPr>
              <w:spacing w:before="120"/>
              <w:rPr>
                <w:rFonts w:ascii="Verdana" w:hAnsi="Verdana"/>
                <w:i/>
                <w:sz w:val="16"/>
                <w:szCs w:val="16"/>
              </w:rPr>
            </w:pPr>
            <w:r w:rsidRPr="00E60AC2">
              <w:rPr>
                <w:rFonts w:ascii="Verdana" w:hAnsi="Verdana"/>
                <w:i/>
                <w:sz w:val="16"/>
                <w:szCs w:val="16"/>
              </w:rPr>
              <w:t>+</w:t>
            </w:r>
          </w:p>
          <w:p w:rsidR="00E21452" w:rsidRPr="00E60AC2" w:rsidRDefault="00E21452" w:rsidP="003B7BFA">
            <w:pPr>
              <w:spacing w:before="120"/>
              <w:rPr>
                <w:rFonts w:ascii="Verdana" w:hAnsi="Verdana"/>
                <w:i/>
                <w:sz w:val="16"/>
                <w:szCs w:val="16"/>
              </w:rPr>
            </w:pPr>
            <w:r w:rsidRPr="00E60AC2">
              <w:rPr>
                <w:rFonts w:ascii="Verdana" w:hAnsi="Verdana"/>
                <w:i/>
                <w:sz w:val="16"/>
                <w:szCs w:val="16"/>
              </w:rPr>
              <w:t>input of National URBACT Points</w:t>
            </w:r>
          </w:p>
          <w:p w:rsidR="00E21452" w:rsidRPr="00E60AC2" w:rsidRDefault="006B5486" w:rsidP="003B7BFA">
            <w:pPr>
              <w:spacing w:before="120"/>
              <w:rPr>
                <w:rFonts w:ascii="Verdana" w:hAnsi="Verdana"/>
                <w:i/>
                <w:sz w:val="16"/>
                <w:szCs w:val="16"/>
              </w:rPr>
            </w:pPr>
            <w:r w:rsidRPr="00E60AC2">
              <w:rPr>
                <w:rFonts w:ascii="Verdana" w:hAnsi="Verdana"/>
                <w:i/>
                <w:sz w:val="16"/>
                <w:szCs w:val="16"/>
              </w:rPr>
              <w:t>The survey would ask people which capitalisation resources they had accessed such as website, publications, events and then how this had changed their practice)</w:t>
            </w:r>
          </w:p>
        </w:tc>
        <w:tc>
          <w:tcPr>
            <w:tcW w:w="374" w:type="pct"/>
            <w:tcBorders>
              <w:top w:val="single" w:sz="4" w:space="0" w:color="auto"/>
              <w:left w:val="single" w:sz="4" w:space="0" w:color="auto"/>
              <w:bottom w:val="single" w:sz="4" w:space="0" w:color="auto"/>
              <w:right w:val="single" w:sz="4" w:space="0" w:color="auto"/>
            </w:tcBorders>
          </w:tcPr>
          <w:p w:rsidR="00E21452" w:rsidRPr="00E60AC2" w:rsidRDefault="00E21452" w:rsidP="003B7BFA">
            <w:pPr>
              <w:spacing w:before="120"/>
              <w:rPr>
                <w:rFonts w:ascii="Verdana" w:hAnsi="Verdana"/>
                <w:i/>
                <w:sz w:val="16"/>
                <w:szCs w:val="16"/>
              </w:rPr>
            </w:pPr>
            <w:r w:rsidRPr="00E60AC2">
              <w:rPr>
                <w:rFonts w:ascii="Verdana" w:hAnsi="Verdana"/>
                <w:i/>
                <w:sz w:val="16"/>
                <w:szCs w:val="16"/>
              </w:rPr>
              <w:t xml:space="preserve">Every 2 years </w:t>
            </w:r>
          </w:p>
        </w:tc>
      </w:tr>
    </w:tbl>
    <w:p w:rsidR="00E21452" w:rsidRPr="004F5F2B" w:rsidRDefault="00E21452" w:rsidP="00E21452">
      <w:pPr>
        <w:rPr>
          <w:rFonts w:ascii="Verdana" w:hAnsi="Verdana"/>
        </w:rPr>
      </w:pPr>
    </w:p>
    <w:p w:rsidR="00E21452" w:rsidRPr="004F5F2B" w:rsidRDefault="00E21452" w:rsidP="00E21452">
      <w:pPr>
        <w:rPr>
          <w:rFonts w:ascii="Verdana" w:hAnsi="Verdana"/>
          <w:b/>
        </w:rPr>
      </w:pPr>
    </w:p>
    <w:p w:rsidR="00E21452" w:rsidRPr="004F5F2B" w:rsidRDefault="00E21452" w:rsidP="00E21452">
      <w:pPr>
        <w:rPr>
          <w:rFonts w:ascii="Verdana" w:hAnsi="Verdana"/>
          <w:b/>
        </w:rPr>
      </w:pPr>
    </w:p>
    <w:p w:rsidR="00E21452" w:rsidRPr="004F5F2B" w:rsidRDefault="00E21452" w:rsidP="00E21452">
      <w:pPr>
        <w:rPr>
          <w:rFonts w:ascii="Verdana" w:hAnsi="Verdana"/>
          <w:b/>
        </w:rPr>
        <w:sectPr w:rsidR="00E21452" w:rsidRPr="004F5F2B" w:rsidSect="00E21452">
          <w:footerReference w:type="default" r:id="rId27"/>
          <w:pgSz w:w="16838" w:h="11906" w:orient="landscape"/>
          <w:pgMar w:top="1418" w:right="680" w:bottom="244" w:left="1418" w:header="709" w:footer="709" w:gutter="0"/>
          <w:cols w:space="708"/>
          <w:docGrid w:linePitch="360"/>
        </w:sectPr>
      </w:pPr>
    </w:p>
    <w:p w:rsidR="00E21452" w:rsidRPr="004F5F2B" w:rsidRDefault="00DC73D9" w:rsidP="001F2159">
      <w:pPr>
        <w:pStyle w:val="2"/>
      </w:pPr>
      <w:bookmarkStart w:id="16" w:name="_Toc384648440"/>
      <w:r w:rsidRPr="004F5F2B">
        <w:t>2.</w:t>
      </w:r>
      <w:r w:rsidR="00E21452" w:rsidRPr="004F5F2B">
        <w:t>A.</w:t>
      </w:r>
      <w:r w:rsidR="00FD10D9" w:rsidRPr="004F5F2B">
        <w:t>3</w:t>
      </w:r>
      <w:r w:rsidR="00E21452" w:rsidRPr="004F5F2B">
        <w:t xml:space="preserve">. </w:t>
      </w:r>
      <w:r w:rsidR="00A97643">
        <w:tab/>
      </w:r>
      <w:r w:rsidR="00E21452" w:rsidRPr="004F5F2B">
        <w:t>Actions to be supported under the investment priority</w:t>
      </w:r>
      <w:bookmarkEnd w:id="16"/>
    </w:p>
    <w:p w:rsidR="00E21452" w:rsidRPr="004F5F2B" w:rsidRDefault="00E21452" w:rsidP="00E21452">
      <w:pPr>
        <w:ind w:right="566"/>
        <w:rPr>
          <w:rFonts w:ascii="Verdana" w:hAnsi="Verdana"/>
          <w:b/>
        </w:rPr>
      </w:pPr>
    </w:p>
    <w:p w:rsidR="00E21452" w:rsidRPr="00CB6B70" w:rsidRDefault="00DC73D9" w:rsidP="00CB6B70">
      <w:pPr>
        <w:pStyle w:val="2"/>
      </w:pPr>
      <w:bookmarkStart w:id="17" w:name="_Toc384648441"/>
      <w:r w:rsidRPr="00CB6B70">
        <w:t>2.</w:t>
      </w:r>
      <w:r w:rsidR="00E21452" w:rsidRPr="00CB6B70">
        <w:t>A.</w:t>
      </w:r>
      <w:r w:rsidR="00FD10D9" w:rsidRPr="00CB6B70">
        <w:t>3</w:t>
      </w:r>
      <w:r w:rsidR="00E21452" w:rsidRPr="00CB6B70">
        <w:t xml:space="preserve">.1. </w:t>
      </w:r>
      <w:r w:rsidR="00CB6B70" w:rsidRPr="00CB6B70">
        <w:tab/>
      </w:r>
      <w:r w:rsidR="00E21452" w:rsidRPr="00CB6B70">
        <w:t>Actions to be financed and their expected contribution to the corresponding specific objectives, including, where appropriate – Article 7 (2) (b</w:t>
      </w:r>
      <w:r w:rsidR="0029014E" w:rsidRPr="00CB6B70">
        <w:t>) (</w:t>
      </w:r>
      <w:r w:rsidR="00E21452" w:rsidRPr="00CB6B70">
        <w:t>iii) ETC Regulation</w:t>
      </w:r>
      <w:bookmarkEnd w:id="17"/>
    </w:p>
    <w:p w:rsidR="00E21452" w:rsidRPr="007E33E3" w:rsidRDefault="00E21452" w:rsidP="00E21452">
      <w:pPr>
        <w:ind w:right="566"/>
        <w:rPr>
          <w:rFonts w:ascii="Verdana" w:hAnsi="Verdana"/>
          <w:b/>
          <w:i/>
          <w:sz w:val="22"/>
          <w:szCs w:val="22"/>
        </w:rPr>
      </w:pPr>
    </w:p>
    <w:p w:rsidR="00E21452" w:rsidRPr="007E33E3" w:rsidRDefault="00E21452" w:rsidP="00E60AC2">
      <w:pPr>
        <w:spacing w:after="120" w:line="276" w:lineRule="auto"/>
        <w:ind w:right="566"/>
        <w:jc w:val="both"/>
        <w:rPr>
          <w:rFonts w:ascii="Verdana" w:hAnsi="Verdana"/>
          <w:b/>
          <w:sz w:val="22"/>
          <w:szCs w:val="22"/>
        </w:rPr>
      </w:pPr>
      <w:r w:rsidRPr="007E33E3">
        <w:rPr>
          <w:rFonts w:ascii="Verdana" w:hAnsi="Verdana"/>
          <w:b/>
          <w:sz w:val="22"/>
          <w:szCs w:val="22"/>
        </w:rPr>
        <w:t xml:space="preserve">a/ Building capacities for sustainable urban development (specific objective 1) </w:t>
      </w:r>
    </w:p>
    <w:p w:rsidR="00E21452" w:rsidRPr="007E33E3" w:rsidRDefault="00E21452" w:rsidP="00E60AC2">
      <w:pPr>
        <w:spacing w:after="120" w:line="276" w:lineRule="auto"/>
        <w:ind w:right="566"/>
        <w:jc w:val="both"/>
        <w:rPr>
          <w:rFonts w:ascii="Verdana" w:hAnsi="Verdana"/>
          <w:b/>
          <w:i/>
          <w:sz w:val="22"/>
          <w:szCs w:val="22"/>
          <w:u w:val="single"/>
        </w:rPr>
      </w:pPr>
    </w:p>
    <w:p w:rsidR="00826651" w:rsidRPr="003B7BFA" w:rsidRDefault="00E21452" w:rsidP="00E60AC2">
      <w:pPr>
        <w:spacing w:after="120" w:line="276" w:lineRule="auto"/>
        <w:ind w:right="566"/>
        <w:jc w:val="both"/>
        <w:rPr>
          <w:rFonts w:ascii="Verdana" w:hAnsi="Verdana"/>
          <w:b/>
          <w:sz w:val="22"/>
          <w:szCs w:val="22"/>
          <w:u w:val="single"/>
        </w:rPr>
      </w:pPr>
      <w:r w:rsidRPr="003B7BFA">
        <w:rPr>
          <w:rFonts w:ascii="Verdana" w:hAnsi="Verdana"/>
          <w:b/>
          <w:i/>
          <w:sz w:val="22"/>
          <w:szCs w:val="22"/>
          <w:u w:val="single"/>
        </w:rPr>
        <w:t>Contribution of activities to specific objective 1</w:t>
      </w:r>
    </w:p>
    <w:p w:rsidR="00E21452" w:rsidRPr="007E33E3" w:rsidRDefault="00826651" w:rsidP="00E60AC2">
      <w:pPr>
        <w:spacing w:after="120" w:line="276" w:lineRule="auto"/>
        <w:ind w:right="566"/>
        <w:jc w:val="both"/>
        <w:rPr>
          <w:rFonts w:ascii="Verdana" w:hAnsi="Verdana"/>
          <w:sz w:val="22"/>
          <w:szCs w:val="22"/>
        </w:rPr>
      </w:pPr>
      <w:r w:rsidRPr="007E33E3">
        <w:rPr>
          <w:rFonts w:ascii="Verdana" w:hAnsi="Verdana"/>
          <w:sz w:val="22"/>
          <w:szCs w:val="22"/>
        </w:rPr>
        <w:t>T</w:t>
      </w:r>
      <w:r w:rsidR="00E21452" w:rsidRPr="007E33E3">
        <w:rPr>
          <w:rFonts w:ascii="Verdana" w:hAnsi="Verdana"/>
          <w:sz w:val="22"/>
          <w:szCs w:val="22"/>
        </w:rPr>
        <w:t>he programme will develop actions to enhance the capacity of key players (urban practitioners, city managers and staff, elected representatives, other stakeholders involved in URBACT projects) in the field of integrated and participatory approaches to sustainable urban development.</w:t>
      </w:r>
    </w:p>
    <w:p w:rsidR="00E21452" w:rsidRPr="007E33E3" w:rsidRDefault="00E21452" w:rsidP="00E60AC2">
      <w:pPr>
        <w:spacing w:after="120" w:line="276" w:lineRule="auto"/>
        <w:ind w:right="566"/>
        <w:jc w:val="both"/>
        <w:rPr>
          <w:rFonts w:ascii="Verdana" w:hAnsi="Verdana"/>
          <w:sz w:val="22"/>
          <w:szCs w:val="22"/>
        </w:rPr>
      </w:pPr>
    </w:p>
    <w:p w:rsidR="003910DB" w:rsidRPr="007E33E3" w:rsidRDefault="00E21452" w:rsidP="00E60AC2">
      <w:pPr>
        <w:spacing w:after="120" w:line="276" w:lineRule="auto"/>
        <w:ind w:right="566"/>
        <w:jc w:val="both"/>
        <w:rPr>
          <w:rFonts w:ascii="Verdana" w:hAnsi="Verdana"/>
          <w:i/>
          <w:sz w:val="22"/>
          <w:szCs w:val="22"/>
          <w:u w:val="single"/>
        </w:rPr>
      </w:pPr>
      <w:r w:rsidRPr="007E33E3">
        <w:rPr>
          <w:rFonts w:ascii="Verdana" w:hAnsi="Verdana"/>
          <w:i/>
          <w:sz w:val="22"/>
          <w:szCs w:val="22"/>
          <w:u w:val="single"/>
        </w:rPr>
        <w:t>Actions</w:t>
      </w:r>
    </w:p>
    <w:p w:rsidR="003910DB" w:rsidRPr="007E33E3" w:rsidRDefault="002E5CA7" w:rsidP="00E60AC2">
      <w:pPr>
        <w:spacing w:after="120" w:line="276" w:lineRule="auto"/>
        <w:ind w:right="566"/>
        <w:jc w:val="both"/>
        <w:rPr>
          <w:rFonts w:ascii="Verdana" w:hAnsi="Verdana"/>
          <w:sz w:val="22"/>
          <w:szCs w:val="22"/>
          <w:u w:val="single"/>
        </w:rPr>
      </w:pPr>
      <w:r w:rsidRPr="007E33E3">
        <w:rPr>
          <w:rFonts w:ascii="Verdana" w:hAnsi="Verdana"/>
          <w:sz w:val="22"/>
          <w:szCs w:val="22"/>
        </w:rPr>
        <w:t>The main actions that can be supported under Capacity-building are the following (indicative list):</w:t>
      </w:r>
    </w:p>
    <w:p w:rsidR="004B01BB" w:rsidRPr="009F51D1" w:rsidRDefault="004B01BB" w:rsidP="004B01BB">
      <w:pPr>
        <w:numPr>
          <w:ilvl w:val="0"/>
          <w:numId w:val="28"/>
        </w:numPr>
        <w:spacing w:after="120" w:line="276" w:lineRule="auto"/>
        <w:ind w:left="714" w:right="567" w:hanging="357"/>
        <w:jc w:val="both"/>
        <w:rPr>
          <w:rFonts w:ascii="Verdana" w:hAnsi="Verdana"/>
          <w:sz w:val="22"/>
          <w:szCs w:val="22"/>
        </w:rPr>
      </w:pPr>
      <w:r w:rsidRPr="009F51D1">
        <w:rPr>
          <w:rFonts w:ascii="Verdana" w:hAnsi="Verdana"/>
          <w:sz w:val="22"/>
          <w:szCs w:val="22"/>
        </w:rPr>
        <w:t>National capacity-building seminars – this tool which was tested under URBACT II provides tools and methods to enhance capacities of local support group members of partner cities at national level, in national languages. Member States are strongly involved in these sessions, which fosters dialogue between national and local players on urban policies and allow project partners to better understand the national context in which they are operating.</w:t>
      </w:r>
    </w:p>
    <w:p w:rsidR="004B01BB" w:rsidRPr="009F51D1" w:rsidRDefault="004B01BB" w:rsidP="004B01BB">
      <w:pPr>
        <w:numPr>
          <w:ilvl w:val="0"/>
          <w:numId w:val="28"/>
        </w:numPr>
        <w:spacing w:after="120" w:line="276" w:lineRule="auto"/>
        <w:ind w:left="714" w:right="567" w:hanging="357"/>
        <w:jc w:val="both"/>
        <w:rPr>
          <w:rFonts w:ascii="Verdana" w:hAnsi="Verdana"/>
          <w:sz w:val="22"/>
          <w:szCs w:val="22"/>
        </w:rPr>
      </w:pPr>
      <w:r w:rsidRPr="009F51D1">
        <w:rPr>
          <w:rFonts w:ascii="Verdana" w:hAnsi="Verdana"/>
          <w:sz w:val="22"/>
          <w:szCs w:val="22"/>
        </w:rPr>
        <w:t>URBACT Universities, which proved highly successful under URBACT II (2011 and 2013) is to be enhanced and continued into URBACT III. The URBACT University consists of a large transnational capacity-building event centred on the URBACT method and aiming to provide URBACT partners and their local stakeholders with tools and methods to develop integrated and participatory action-planning. Project partners from all URBACT networks come together to “learn by doing”, share good practices and test different tools they can apply in the work of their local support groups at city level.</w:t>
      </w:r>
    </w:p>
    <w:p w:rsidR="004B01BB" w:rsidRPr="009F51D1" w:rsidRDefault="004B01BB" w:rsidP="004B01BB">
      <w:pPr>
        <w:numPr>
          <w:ilvl w:val="0"/>
          <w:numId w:val="28"/>
        </w:numPr>
        <w:spacing w:after="120" w:line="276" w:lineRule="auto"/>
        <w:ind w:left="714" w:right="567" w:hanging="357"/>
        <w:jc w:val="both"/>
        <w:rPr>
          <w:rFonts w:ascii="Verdana" w:hAnsi="Verdana"/>
          <w:sz w:val="22"/>
          <w:szCs w:val="22"/>
        </w:rPr>
      </w:pPr>
      <w:r w:rsidRPr="009F51D1">
        <w:rPr>
          <w:rFonts w:ascii="Verdana" w:hAnsi="Verdana"/>
          <w:sz w:val="22"/>
          <w:szCs w:val="22"/>
        </w:rPr>
        <w:t>Other ad hoc capacity-building actions based on an established need can also be developed for specific stakeholder groups involved in the design and implementation of sustainable urban policies</w:t>
      </w:r>
      <w:r>
        <w:rPr>
          <w:rFonts w:ascii="Verdana" w:hAnsi="Verdana"/>
          <w:sz w:val="22"/>
          <w:szCs w:val="22"/>
        </w:rPr>
        <w:t xml:space="preserve"> (e.g. elected representatives, </w:t>
      </w:r>
      <w:r w:rsidRPr="009F51D1">
        <w:rPr>
          <w:rFonts w:ascii="Verdana" w:hAnsi="Verdana"/>
          <w:sz w:val="22"/>
          <w:szCs w:val="22"/>
        </w:rPr>
        <w:t>Managing authorities of Operational Programmes, national authorities, etc.).</w:t>
      </w:r>
    </w:p>
    <w:p w:rsidR="00E21452" w:rsidRPr="004B01BB" w:rsidRDefault="004B01BB" w:rsidP="004B01BB">
      <w:pPr>
        <w:pStyle w:val="afd"/>
        <w:numPr>
          <w:ilvl w:val="0"/>
          <w:numId w:val="67"/>
        </w:numPr>
        <w:spacing w:after="120"/>
        <w:ind w:left="714" w:right="566" w:hanging="357"/>
        <w:jc w:val="both"/>
        <w:rPr>
          <w:rFonts w:ascii="Verdana" w:hAnsi="Verdana"/>
        </w:rPr>
      </w:pPr>
      <w:r w:rsidRPr="004B01BB">
        <w:rPr>
          <w:rFonts w:ascii="Verdana" w:hAnsi="Verdana"/>
        </w:rPr>
        <w:t>Capacity-building actions under objective 1 shall focus mainly on the use of tools, instruments and methods supporting integrated and participatory approaches to sustainable urban development. They shall cover the design, funding, implementation and monitoring of integrated strategies and action plans, as well as the use of the Reference Framework for Sustainable Cities (RFSC)</w:t>
      </w:r>
      <w:r w:rsidRPr="004B01BB">
        <w:rPr>
          <w:rFonts w:ascii="Verdana" w:hAnsi="Verdana"/>
          <w:vertAlign w:val="superscript"/>
        </w:rPr>
        <w:t xml:space="preserve"> </w:t>
      </w:r>
      <w:r w:rsidRPr="00744982">
        <w:rPr>
          <w:vertAlign w:val="superscript"/>
        </w:rPr>
        <w:footnoteReference w:id="33"/>
      </w:r>
    </w:p>
    <w:p w:rsidR="004B01BB" w:rsidRDefault="004B01BB" w:rsidP="00E60AC2">
      <w:pPr>
        <w:spacing w:after="120" w:line="276" w:lineRule="auto"/>
        <w:ind w:right="566"/>
        <w:jc w:val="both"/>
        <w:rPr>
          <w:rFonts w:ascii="Verdana" w:hAnsi="Verdana"/>
          <w:i/>
          <w:sz w:val="22"/>
          <w:szCs w:val="22"/>
          <w:u w:val="single"/>
        </w:rPr>
      </w:pPr>
    </w:p>
    <w:p w:rsidR="00E21452" w:rsidRPr="007E33E3" w:rsidRDefault="002E5CA7" w:rsidP="00E60AC2">
      <w:pPr>
        <w:spacing w:after="120" w:line="276" w:lineRule="auto"/>
        <w:ind w:right="566"/>
        <w:jc w:val="both"/>
        <w:rPr>
          <w:rFonts w:ascii="Verdana" w:hAnsi="Verdana"/>
          <w:i/>
          <w:sz w:val="22"/>
          <w:szCs w:val="22"/>
          <w:u w:val="single"/>
        </w:rPr>
      </w:pPr>
      <w:r w:rsidRPr="007E33E3">
        <w:rPr>
          <w:rFonts w:ascii="Verdana" w:hAnsi="Verdana"/>
          <w:i/>
          <w:sz w:val="22"/>
          <w:szCs w:val="22"/>
          <w:u w:val="single"/>
        </w:rPr>
        <w:t>Main target groups and types of beneficiaries</w:t>
      </w:r>
    </w:p>
    <w:p w:rsidR="00A3563F" w:rsidRPr="007E33E3" w:rsidRDefault="002E5CA7" w:rsidP="00E60AC2">
      <w:pPr>
        <w:widowControl w:val="0"/>
        <w:autoSpaceDE w:val="0"/>
        <w:autoSpaceDN w:val="0"/>
        <w:adjustRightInd w:val="0"/>
        <w:spacing w:after="120" w:line="276" w:lineRule="auto"/>
        <w:jc w:val="both"/>
        <w:rPr>
          <w:rFonts w:ascii="Verdana" w:eastAsia="Calibri" w:hAnsi="Verdana" w:cs="Verdana"/>
          <w:sz w:val="22"/>
          <w:szCs w:val="22"/>
        </w:rPr>
      </w:pPr>
      <w:r w:rsidRPr="007E33E3">
        <w:rPr>
          <w:rFonts w:ascii="Verdana" w:eastAsia="Calibri" w:hAnsi="Verdana" w:cs="Verdana"/>
          <w:sz w:val="22"/>
          <w:szCs w:val="22"/>
        </w:rPr>
        <w:t xml:space="preserve">The main beneficiaries of actions implemented under Objective 1 shall be stakeholders from cities from EU 28 Member States, Norway and Switzerland involved in URBACT networks. These stakeholders can be policy-makers, decision-makers, practitioners, city staff, representatives of local agencies, NGOs, residents or end-users involved in local partnerships in charge of developing or implementing an integrated action plan or strategy (action-planning and implementation networks) or </w:t>
      </w:r>
      <w:r w:rsidR="0029014E" w:rsidRPr="007E33E3">
        <w:rPr>
          <w:rFonts w:ascii="Verdana" w:eastAsia="Calibri" w:hAnsi="Verdana" w:cs="Verdana"/>
          <w:sz w:val="22"/>
          <w:szCs w:val="22"/>
        </w:rPr>
        <w:t>transferring</w:t>
      </w:r>
      <w:r w:rsidRPr="007E33E3">
        <w:rPr>
          <w:rFonts w:ascii="Verdana" w:eastAsia="Calibri" w:hAnsi="Verdana" w:cs="Verdana"/>
          <w:sz w:val="22"/>
          <w:szCs w:val="22"/>
        </w:rPr>
        <w:t xml:space="preserve"> a good practice (transfer networks) in the field of sustainable urban development.</w:t>
      </w:r>
    </w:p>
    <w:p w:rsidR="00EE50A0" w:rsidRPr="007E33E3" w:rsidRDefault="002E5CA7" w:rsidP="00E60AC2">
      <w:pPr>
        <w:widowControl w:val="0"/>
        <w:autoSpaceDE w:val="0"/>
        <w:autoSpaceDN w:val="0"/>
        <w:adjustRightInd w:val="0"/>
        <w:spacing w:after="120" w:line="276" w:lineRule="auto"/>
        <w:jc w:val="both"/>
        <w:rPr>
          <w:rFonts w:ascii="Verdana" w:eastAsia="Calibri" w:hAnsi="Verdana" w:cs="Verdana"/>
          <w:sz w:val="22"/>
          <w:szCs w:val="22"/>
        </w:rPr>
      </w:pPr>
      <w:r w:rsidRPr="007E33E3">
        <w:rPr>
          <w:rFonts w:ascii="Verdana" w:eastAsia="Calibri" w:hAnsi="Verdana" w:cs="Verdana"/>
          <w:sz w:val="22"/>
          <w:szCs w:val="22"/>
        </w:rPr>
        <w:t xml:space="preserve">Beyond stakeholders related to URBACT partners, other key players in sustainable urban development (at national, regional or local level) may also be eligible for actions implemented under Objective 1 (e.g. cities implementing integrated urban strategies and action plans under articles 7 and </w:t>
      </w:r>
      <w:r w:rsidR="00C57544" w:rsidRPr="007E33E3">
        <w:rPr>
          <w:rFonts w:ascii="Verdana" w:eastAsia="Calibri" w:hAnsi="Verdana" w:cs="Verdana"/>
          <w:sz w:val="22"/>
          <w:szCs w:val="22"/>
        </w:rPr>
        <w:t>8</w:t>
      </w:r>
      <w:r w:rsidRPr="007E33E3">
        <w:rPr>
          <w:rFonts w:ascii="Verdana" w:eastAsia="Calibri" w:hAnsi="Verdana" w:cs="Verdana"/>
          <w:sz w:val="22"/>
          <w:szCs w:val="22"/>
        </w:rPr>
        <w:t>, RFSC cities, etc.).</w:t>
      </w:r>
    </w:p>
    <w:p w:rsidR="00EE50A0" w:rsidRPr="007E33E3" w:rsidRDefault="00EE50A0" w:rsidP="00E60AC2">
      <w:pPr>
        <w:spacing w:after="120" w:line="276" w:lineRule="auto"/>
        <w:ind w:right="566"/>
        <w:jc w:val="both"/>
        <w:rPr>
          <w:rFonts w:ascii="Verdana" w:hAnsi="Verdana"/>
          <w:sz w:val="22"/>
          <w:szCs w:val="22"/>
        </w:rPr>
      </w:pPr>
    </w:p>
    <w:p w:rsidR="00E21452" w:rsidRPr="007E33E3" w:rsidRDefault="00E21452" w:rsidP="00E60AC2">
      <w:pPr>
        <w:spacing w:after="120" w:line="276" w:lineRule="auto"/>
        <w:ind w:right="566"/>
        <w:rPr>
          <w:rFonts w:ascii="Verdana" w:hAnsi="Verdana"/>
          <w:b/>
          <w:sz w:val="22"/>
          <w:szCs w:val="22"/>
          <w:u w:val="single"/>
        </w:rPr>
      </w:pPr>
      <w:r w:rsidRPr="007E33E3">
        <w:rPr>
          <w:rFonts w:ascii="Verdana" w:hAnsi="Verdana"/>
          <w:b/>
          <w:sz w:val="22"/>
          <w:szCs w:val="22"/>
        </w:rPr>
        <w:t xml:space="preserve">b/ Networking to improve the design of sustainable urban </w:t>
      </w:r>
      <w:r w:rsidR="00080F3C" w:rsidRPr="007E33E3">
        <w:rPr>
          <w:rFonts w:ascii="Verdana" w:hAnsi="Verdana"/>
          <w:b/>
          <w:sz w:val="22"/>
          <w:szCs w:val="22"/>
        </w:rPr>
        <w:t xml:space="preserve">strategies and </w:t>
      </w:r>
      <w:r w:rsidR="0029014E" w:rsidRPr="007E33E3">
        <w:rPr>
          <w:rFonts w:ascii="Verdana" w:hAnsi="Verdana"/>
          <w:b/>
          <w:sz w:val="22"/>
          <w:szCs w:val="22"/>
        </w:rPr>
        <w:t>actions (</w:t>
      </w:r>
      <w:r w:rsidRPr="007E33E3">
        <w:rPr>
          <w:rFonts w:ascii="Verdana" w:hAnsi="Verdana"/>
          <w:b/>
          <w:sz w:val="22"/>
          <w:szCs w:val="22"/>
        </w:rPr>
        <w:t>specific objective 2)</w:t>
      </w:r>
    </w:p>
    <w:p w:rsidR="00E21452" w:rsidRPr="007E33E3" w:rsidRDefault="00E21452" w:rsidP="00E60AC2">
      <w:pPr>
        <w:spacing w:after="120" w:line="276" w:lineRule="auto"/>
        <w:ind w:right="566"/>
        <w:rPr>
          <w:rFonts w:ascii="Verdana" w:hAnsi="Verdana"/>
          <w:b/>
          <w:sz w:val="22"/>
          <w:szCs w:val="22"/>
        </w:rPr>
      </w:pPr>
    </w:p>
    <w:p w:rsidR="009167B5" w:rsidRPr="003B7BFA" w:rsidRDefault="00E21452" w:rsidP="00E60AC2">
      <w:pPr>
        <w:spacing w:after="120" w:line="276" w:lineRule="auto"/>
        <w:ind w:right="566"/>
        <w:jc w:val="both"/>
        <w:rPr>
          <w:rFonts w:ascii="Verdana" w:hAnsi="Verdana"/>
          <w:b/>
          <w:sz w:val="22"/>
          <w:szCs w:val="22"/>
          <w:u w:val="single"/>
        </w:rPr>
      </w:pPr>
      <w:r w:rsidRPr="003B7BFA">
        <w:rPr>
          <w:rFonts w:ascii="Verdana" w:hAnsi="Verdana"/>
          <w:b/>
          <w:i/>
          <w:sz w:val="22"/>
          <w:szCs w:val="22"/>
          <w:u w:val="single"/>
        </w:rPr>
        <w:t>Contribution of activities to specific objective 2</w:t>
      </w:r>
    </w:p>
    <w:p w:rsidR="00E21452" w:rsidRPr="007E33E3" w:rsidRDefault="009167B5" w:rsidP="00E60AC2">
      <w:pPr>
        <w:spacing w:after="120" w:line="276" w:lineRule="auto"/>
        <w:ind w:right="566"/>
        <w:jc w:val="both"/>
        <w:rPr>
          <w:rFonts w:ascii="Verdana" w:hAnsi="Verdana"/>
          <w:b/>
          <w:sz w:val="22"/>
          <w:szCs w:val="22"/>
          <w:u w:val="single"/>
        </w:rPr>
      </w:pPr>
      <w:r w:rsidRPr="007E33E3">
        <w:rPr>
          <w:rFonts w:ascii="Verdana" w:hAnsi="Verdana"/>
          <w:sz w:val="22"/>
          <w:szCs w:val="22"/>
        </w:rPr>
        <w:t>T</w:t>
      </w:r>
      <w:r w:rsidR="00E21452" w:rsidRPr="007E33E3">
        <w:rPr>
          <w:rFonts w:ascii="Verdana" w:hAnsi="Verdana"/>
          <w:sz w:val="22"/>
          <w:szCs w:val="22"/>
        </w:rPr>
        <w:t>he programme will support the design of integrated strategies and action plans for sustainable urban development in European cities building on participatory approaches. This will be mainly achieved through “Action-planning networks” in which cities and their local counterparts will receive support, from experts and peers, to develop integrated strategies/ action plans</w:t>
      </w:r>
      <w:r w:rsidR="009F6D02" w:rsidRPr="007E33E3">
        <w:rPr>
          <w:rFonts w:ascii="Verdana" w:hAnsi="Verdana"/>
          <w:sz w:val="22"/>
          <w:szCs w:val="22"/>
        </w:rPr>
        <w:t xml:space="preserve"> for sustainable urban development</w:t>
      </w:r>
      <w:r w:rsidR="00E21452" w:rsidRPr="007E33E3">
        <w:rPr>
          <w:rFonts w:ascii="Verdana" w:hAnsi="Verdana"/>
          <w:sz w:val="22"/>
          <w:szCs w:val="22"/>
        </w:rPr>
        <w:t xml:space="preserve">. </w:t>
      </w:r>
    </w:p>
    <w:p w:rsidR="00E21452" w:rsidRPr="007E33E3" w:rsidRDefault="00E21452" w:rsidP="00E60AC2">
      <w:pPr>
        <w:spacing w:after="120" w:line="276" w:lineRule="auto"/>
        <w:ind w:right="566"/>
        <w:rPr>
          <w:rFonts w:ascii="Verdana" w:hAnsi="Verdana"/>
          <w:sz w:val="22"/>
          <w:szCs w:val="22"/>
        </w:rPr>
      </w:pPr>
    </w:p>
    <w:p w:rsidR="00E60AC2" w:rsidRDefault="00E60AC2">
      <w:pPr>
        <w:rPr>
          <w:rFonts w:ascii="Verdana" w:hAnsi="Verdana"/>
          <w:i/>
          <w:sz w:val="22"/>
          <w:szCs w:val="22"/>
          <w:u w:val="single"/>
        </w:rPr>
      </w:pPr>
      <w:r>
        <w:rPr>
          <w:rFonts w:ascii="Verdana" w:hAnsi="Verdana"/>
          <w:i/>
          <w:sz w:val="22"/>
          <w:szCs w:val="22"/>
          <w:u w:val="single"/>
        </w:rPr>
        <w:br w:type="page"/>
      </w:r>
    </w:p>
    <w:p w:rsidR="00E73A82" w:rsidRPr="007E33E3" w:rsidRDefault="002E5CA7" w:rsidP="00E60AC2">
      <w:pPr>
        <w:spacing w:after="120" w:line="276" w:lineRule="auto"/>
        <w:ind w:right="566"/>
        <w:jc w:val="both"/>
        <w:rPr>
          <w:rFonts w:ascii="Verdana" w:hAnsi="Verdana"/>
          <w:i/>
          <w:sz w:val="22"/>
          <w:szCs w:val="22"/>
          <w:u w:val="single"/>
        </w:rPr>
      </w:pPr>
      <w:r w:rsidRPr="007E33E3">
        <w:rPr>
          <w:rFonts w:ascii="Verdana" w:hAnsi="Verdana"/>
          <w:i/>
          <w:sz w:val="22"/>
          <w:szCs w:val="22"/>
          <w:u w:val="single"/>
        </w:rPr>
        <w:t>Actions</w:t>
      </w:r>
    </w:p>
    <w:p w:rsidR="00080F3C" w:rsidRPr="007E33E3" w:rsidRDefault="002E5CA7" w:rsidP="00E60AC2">
      <w:pPr>
        <w:spacing w:after="120" w:line="276" w:lineRule="auto"/>
        <w:ind w:right="566"/>
        <w:jc w:val="both"/>
        <w:rPr>
          <w:rFonts w:ascii="Verdana" w:hAnsi="Verdana"/>
          <w:sz w:val="22"/>
          <w:szCs w:val="22"/>
          <w:u w:val="single"/>
        </w:rPr>
      </w:pPr>
      <w:r w:rsidRPr="007E33E3">
        <w:rPr>
          <w:rFonts w:ascii="Verdana" w:hAnsi="Verdana"/>
          <w:sz w:val="22"/>
          <w:szCs w:val="22"/>
        </w:rPr>
        <w:t>The main actions that can be supported under Action-planning networks are the following (indicative list):</w:t>
      </w:r>
      <w:r w:rsidR="00080F3C" w:rsidRPr="007E33E3" w:rsidDel="00080F3C">
        <w:rPr>
          <w:rFonts w:ascii="Verdana" w:hAnsi="Verdana"/>
          <w:sz w:val="22"/>
          <w:szCs w:val="22"/>
          <w:u w:val="single"/>
        </w:rPr>
        <w:t xml:space="preserve"> </w:t>
      </w:r>
    </w:p>
    <w:p w:rsidR="00E21452" w:rsidRPr="00E60AC2" w:rsidRDefault="00E21452" w:rsidP="00D67ECF">
      <w:pPr>
        <w:pStyle w:val="afd"/>
        <w:numPr>
          <w:ilvl w:val="0"/>
          <w:numId w:val="30"/>
        </w:numPr>
        <w:spacing w:after="120"/>
        <w:ind w:left="714" w:right="567" w:hanging="357"/>
        <w:jc w:val="both"/>
        <w:rPr>
          <w:rFonts w:ascii="Verdana" w:hAnsi="Verdana"/>
        </w:rPr>
      </w:pPr>
      <w:r w:rsidRPr="00E60AC2">
        <w:rPr>
          <w:rFonts w:ascii="Verdana" w:hAnsi="Verdana"/>
        </w:rPr>
        <w:t>Transnational exchange seminars, including study visits, peer-reviews, etc.</w:t>
      </w:r>
    </w:p>
    <w:p w:rsidR="00E21452" w:rsidRPr="00E60AC2" w:rsidRDefault="00E21452" w:rsidP="00D67ECF">
      <w:pPr>
        <w:pStyle w:val="afd"/>
        <w:numPr>
          <w:ilvl w:val="0"/>
          <w:numId w:val="30"/>
        </w:numPr>
        <w:spacing w:after="120"/>
        <w:ind w:left="714" w:right="567" w:hanging="357"/>
        <w:jc w:val="both"/>
        <w:rPr>
          <w:rFonts w:ascii="Verdana" w:hAnsi="Verdana"/>
        </w:rPr>
      </w:pPr>
      <w:r w:rsidRPr="00E60AC2">
        <w:rPr>
          <w:rFonts w:ascii="Verdana" w:hAnsi="Verdana"/>
        </w:rPr>
        <w:t>Production of baseline studies reviewing state of play in partner citie</w:t>
      </w:r>
      <w:r w:rsidR="00080F3C" w:rsidRPr="00E60AC2">
        <w:rPr>
          <w:rFonts w:ascii="Verdana" w:hAnsi="Verdana"/>
        </w:rPr>
        <w:t>s</w:t>
      </w:r>
    </w:p>
    <w:p w:rsidR="00E21452" w:rsidRPr="00E60AC2" w:rsidRDefault="00E21452" w:rsidP="00D67ECF">
      <w:pPr>
        <w:pStyle w:val="afd"/>
        <w:numPr>
          <w:ilvl w:val="0"/>
          <w:numId w:val="30"/>
        </w:numPr>
        <w:spacing w:after="120"/>
        <w:ind w:left="714" w:right="567" w:hanging="357"/>
        <w:jc w:val="both"/>
        <w:rPr>
          <w:rFonts w:ascii="Verdana" w:hAnsi="Verdana"/>
        </w:rPr>
      </w:pPr>
      <w:r w:rsidRPr="00E60AC2">
        <w:rPr>
          <w:rFonts w:ascii="Verdana" w:hAnsi="Verdana"/>
        </w:rPr>
        <w:t>Production of integrated urban strategies/ action plans for sustainable urban development</w:t>
      </w:r>
    </w:p>
    <w:p w:rsidR="00E21452" w:rsidRPr="00E60AC2" w:rsidRDefault="00E21452" w:rsidP="00D67ECF">
      <w:pPr>
        <w:pStyle w:val="afd"/>
        <w:numPr>
          <w:ilvl w:val="0"/>
          <w:numId w:val="30"/>
        </w:numPr>
        <w:spacing w:after="120"/>
        <w:ind w:left="714" w:right="567" w:hanging="357"/>
        <w:jc w:val="both"/>
        <w:rPr>
          <w:rFonts w:ascii="Verdana" w:hAnsi="Verdana"/>
        </w:rPr>
      </w:pPr>
      <w:r w:rsidRPr="00E60AC2">
        <w:rPr>
          <w:rFonts w:ascii="Verdana" w:hAnsi="Verdana"/>
        </w:rPr>
        <w:t xml:space="preserve">Involvement of local stakeholders in participatory policy-making at partner level </w:t>
      </w:r>
    </w:p>
    <w:p w:rsidR="00E21452" w:rsidRPr="00E60AC2" w:rsidRDefault="00E21452" w:rsidP="00D67ECF">
      <w:pPr>
        <w:pStyle w:val="afd"/>
        <w:numPr>
          <w:ilvl w:val="0"/>
          <w:numId w:val="30"/>
        </w:numPr>
        <w:spacing w:after="120"/>
        <w:ind w:left="714" w:right="567" w:hanging="357"/>
        <w:jc w:val="both"/>
        <w:rPr>
          <w:rFonts w:ascii="Verdana" w:hAnsi="Verdana"/>
        </w:rPr>
      </w:pPr>
      <w:r w:rsidRPr="00E60AC2">
        <w:rPr>
          <w:rFonts w:ascii="Verdana" w:hAnsi="Verdana"/>
        </w:rPr>
        <w:t>Communication on network activities and results</w:t>
      </w:r>
    </w:p>
    <w:p w:rsidR="00E21452" w:rsidRPr="00E60AC2" w:rsidRDefault="00E21452" w:rsidP="00D67ECF">
      <w:pPr>
        <w:pStyle w:val="afd"/>
        <w:numPr>
          <w:ilvl w:val="0"/>
          <w:numId w:val="30"/>
        </w:numPr>
        <w:spacing w:after="120"/>
        <w:ind w:left="714" w:right="567" w:hanging="357"/>
        <w:jc w:val="both"/>
        <w:rPr>
          <w:rFonts w:ascii="Verdana" w:hAnsi="Verdana"/>
        </w:rPr>
      </w:pPr>
      <w:r w:rsidRPr="00E60AC2">
        <w:rPr>
          <w:rFonts w:ascii="Verdana" w:hAnsi="Verdana"/>
        </w:rPr>
        <w:t xml:space="preserve">Use of action-planning tools </w:t>
      </w:r>
    </w:p>
    <w:p w:rsidR="00E21452" w:rsidRPr="00E60AC2" w:rsidRDefault="00E21452" w:rsidP="00D67ECF">
      <w:pPr>
        <w:pStyle w:val="afd"/>
        <w:numPr>
          <w:ilvl w:val="0"/>
          <w:numId w:val="30"/>
        </w:numPr>
        <w:spacing w:after="120"/>
        <w:ind w:left="714" w:right="567" w:hanging="357"/>
        <w:jc w:val="both"/>
        <w:rPr>
          <w:rFonts w:ascii="Verdana" w:hAnsi="Verdana"/>
        </w:rPr>
      </w:pPr>
      <w:r w:rsidRPr="00E60AC2">
        <w:rPr>
          <w:rFonts w:ascii="Verdana" w:hAnsi="Verdana"/>
        </w:rPr>
        <w:t>Expertise to support partner cities in developing participatory and integrated approach to urban development</w:t>
      </w:r>
    </w:p>
    <w:p w:rsidR="00E21452" w:rsidRPr="00E60AC2" w:rsidRDefault="00E21452" w:rsidP="00D67ECF">
      <w:pPr>
        <w:pStyle w:val="afd"/>
        <w:numPr>
          <w:ilvl w:val="0"/>
          <w:numId w:val="30"/>
        </w:numPr>
        <w:spacing w:after="120"/>
        <w:ind w:left="714" w:right="567" w:hanging="357"/>
        <w:jc w:val="both"/>
        <w:rPr>
          <w:rFonts w:ascii="Verdana" w:hAnsi="Verdana"/>
        </w:rPr>
      </w:pPr>
      <w:r w:rsidRPr="00E60AC2">
        <w:rPr>
          <w:rFonts w:ascii="Verdana" w:hAnsi="Verdana"/>
        </w:rPr>
        <w:t>Involvement of rural actors to strengthen urban-rural partnerships</w:t>
      </w:r>
    </w:p>
    <w:p w:rsidR="00E21452" w:rsidRPr="007E33E3" w:rsidRDefault="00185FF6" w:rsidP="00E60AC2">
      <w:pPr>
        <w:spacing w:after="120" w:line="276" w:lineRule="auto"/>
        <w:ind w:right="566"/>
        <w:jc w:val="both"/>
        <w:rPr>
          <w:rFonts w:ascii="Verdana" w:hAnsi="Verdana"/>
          <w:sz w:val="22"/>
          <w:szCs w:val="22"/>
          <w:u w:val="single"/>
        </w:rPr>
      </w:pPr>
      <w:r w:rsidRPr="007E33E3">
        <w:rPr>
          <w:rFonts w:ascii="Verdana" w:hAnsi="Verdana"/>
          <w:i/>
          <w:sz w:val="22"/>
          <w:szCs w:val="22"/>
          <w:u w:val="single"/>
        </w:rPr>
        <w:t>Main target groups and types of beneficiaries</w:t>
      </w:r>
    </w:p>
    <w:p w:rsidR="00E3226F" w:rsidRPr="007E33E3" w:rsidRDefault="002E5CA7" w:rsidP="00E60AC2">
      <w:pPr>
        <w:widowControl w:val="0"/>
        <w:autoSpaceDE w:val="0"/>
        <w:autoSpaceDN w:val="0"/>
        <w:adjustRightInd w:val="0"/>
        <w:spacing w:after="120" w:line="276" w:lineRule="auto"/>
        <w:jc w:val="both"/>
        <w:rPr>
          <w:rFonts w:ascii="Verdana" w:eastAsia="Calibri" w:hAnsi="Verdana" w:cs="Arial"/>
          <w:sz w:val="22"/>
          <w:szCs w:val="22"/>
        </w:rPr>
      </w:pPr>
      <w:r w:rsidRPr="007E33E3">
        <w:rPr>
          <w:rFonts w:ascii="Verdana" w:eastAsia="Calibri" w:hAnsi="Verdana" w:cs="Verdana"/>
          <w:sz w:val="22"/>
          <w:szCs w:val="22"/>
        </w:rPr>
        <w:t>The main beneficiaries of actions implemented under Objective 2 shall be cities from EU 28 Member States, Norway and Switzerland willing to develop integrated strategies and action plans for sustainable urban development.</w:t>
      </w:r>
    </w:p>
    <w:p w:rsidR="00E3226F" w:rsidRPr="007E33E3" w:rsidRDefault="002E5CA7" w:rsidP="00E60AC2">
      <w:pPr>
        <w:widowControl w:val="0"/>
        <w:autoSpaceDE w:val="0"/>
        <w:autoSpaceDN w:val="0"/>
        <w:adjustRightInd w:val="0"/>
        <w:spacing w:after="120" w:line="276" w:lineRule="auto"/>
        <w:jc w:val="both"/>
        <w:rPr>
          <w:rFonts w:ascii="Verdana" w:eastAsia="Calibri" w:hAnsi="Verdana" w:cs="Arial"/>
          <w:sz w:val="22"/>
          <w:szCs w:val="22"/>
        </w:rPr>
      </w:pPr>
      <w:r w:rsidRPr="007E33E3">
        <w:rPr>
          <w:rFonts w:ascii="Verdana" w:eastAsia="Calibri" w:hAnsi="Verdana" w:cs="Verdana"/>
          <w:sz w:val="22"/>
          <w:szCs w:val="22"/>
        </w:rPr>
        <w:t>Under URBACT III, the beneficiary “city” refers to the public local authority representing:</w:t>
      </w:r>
    </w:p>
    <w:p w:rsidR="00E73A82" w:rsidRPr="007E33E3" w:rsidRDefault="002E5CA7" w:rsidP="00D67ECF">
      <w:pPr>
        <w:pStyle w:val="afd"/>
        <w:widowControl w:val="0"/>
        <w:numPr>
          <w:ilvl w:val="0"/>
          <w:numId w:val="31"/>
        </w:numPr>
        <w:tabs>
          <w:tab w:val="left" w:pos="940"/>
          <w:tab w:val="left" w:pos="1440"/>
        </w:tabs>
        <w:autoSpaceDE w:val="0"/>
        <w:autoSpaceDN w:val="0"/>
        <w:adjustRightInd w:val="0"/>
        <w:spacing w:after="120"/>
        <w:ind w:left="714" w:hanging="357"/>
        <w:contextualSpacing w:val="0"/>
        <w:rPr>
          <w:rFonts w:ascii="Verdana" w:hAnsi="Verdana" w:cs="Verdana"/>
        </w:rPr>
      </w:pPr>
      <w:r w:rsidRPr="007E33E3">
        <w:rPr>
          <w:rFonts w:ascii="Verdana" w:hAnsi="Verdana" w:cs="Verdana"/>
        </w:rPr>
        <w:t>cities, municipalities, towns, parishes;</w:t>
      </w:r>
    </w:p>
    <w:p w:rsidR="00E3226F" w:rsidRPr="007E33E3" w:rsidRDefault="00E3226F" w:rsidP="00D67ECF">
      <w:pPr>
        <w:pStyle w:val="afd"/>
        <w:widowControl w:val="0"/>
        <w:numPr>
          <w:ilvl w:val="0"/>
          <w:numId w:val="31"/>
        </w:numPr>
        <w:tabs>
          <w:tab w:val="left" w:pos="940"/>
          <w:tab w:val="left" w:pos="1440"/>
        </w:tabs>
        <w:autoSpaceDE w:val="0"/>
        <w:autoSpaceDN w:val="0"/>
        <w:adjustRightInd w:val="0"/>
        <w:spacing w:after="120"/>
        <w:ind w:left="714" w:hanging="357"/>
        <w:contextualSpacing w:val="0"/>
        <w:rPr>
          <w:rFonts w:ascii="Verdana" w:hAnsi="Verdana" w:cs="Verdana"/>
        </w:rPr>
      </w:pPr>
      <w:r w:rsidRPr="007E33E3">
        <w:rPr>
          <w:rFonts w:ascii="Verdana" w:hAnsi="Verdana" w:cs="Verdana"/>
        </w:rPr>
        <w:t>Infra-municipal tiers of government such as city districts and boroughs in cases where they are represented by a politico-administrative institution having competences for policy-making and implementation in the policy area covered by the URBACT network concerned in which they are willing to get involved;</w:t>
      </w:r>
    </w:p>
    <w:p w:rsidR="00E3226F" w:rsidRPr="007E33E3" w:rsidRDefault="00E3226F" w:rsidP="00D67ECF">
      <w:pPr>
        <w:pStyle w:val="afd"/>
        <w:widowControl w:val="0"/>
        <w:numPr>
          <w:ilvl w:val="0"/>
          <w:numId w:val="31"/>
        </w:numPr>
        <w:tabs>
          <w:tab w:val="left" w:pos="940"/>
          <w:tab w:val="left" w:pos="1440"/>
        </w:tabs>
        <w:autoSpaceDE w:val="0"/>
        <w:autoSpaceDN w:val="0"/>
        <w:adjustRightInd w:val="0"/>
        <w:spacing w:after="120"/>
        <w:ind w:left="714" w:hanging="357"/>
        <w:contextualSpacing w:val="0"/>
        <w:rPr>
          <w:rFonts w:ascii="Verdana" w:hAnsi="Verdana" w:cs="Verdana"/>
        </w:rPr>
      </w:pPr>
      <w:r w:rsidRPr="007E33E3">
        <w:rPr>
          <w:rFonts w:ascii="Verdana" w:hAnsi="Verdana" w:cs="Verdana"/>
        </w:rPr>
        <w:t xml:space="preserve">Metropolitan authorities and organized agglomerations </w:t>
      </w:r>
      <w:r w:rsidR="009167B5" w:rsidRPr="007E33E3">
        <w:rPr>
          <w:rFonts w:ascii="Verdana" w:hAnsi="Verdana" w:cs="Verdana"/>
        </w:rPr>
        <w:t>in cases where</w:t>
      </w:r>
      <w:r w:rsidRPr="007E33E3">
        <w:rPr>
          <w:rFonts w:ascii="Verdana" w:hAnsi="Verdana" w:cs="Verdana"/>
        </w:rPr>
        <w:t xml:space="preserve"> they are</w:t>
      </w:r>
      <w:r w:rsidR="009167B5" w:rsidRPr="007E33E3">
        <w:rPr>
          <w:rFonts w:ascii="Verdana" w:hAnsi="Verdana" w:cs="Verdana"/>
        </w:rPr>
        <w:t xml:space="preserve"> represented by a politico-administrative institution</w:t>
      </w:r>
      <w:r w:rsidRPr="007E33E3">
        <w:rPr>
          <w:rFonts w:ascii="Verdana" w:hAnsi="Verdana" w:cs="Verdana"/>
        </w:rPr>
        <w:t xml:space="preserve"> having delegated competences for policy-making and implementation in the policy area covered by the URBACT network concerned.</w:t>
      </w:r>
    </w:p>
    <w:p w:rsidR="00E3226F" w:rsidRPr="007E33E3" w:rsidRDefault="002E5CA7" w:rsidP="00E60AC2">
      <w:pPr>
        <w:widowControl w:val="0"/>
        <w:autoSpaceDE w:val="0"/>
        <w:autoSpaceDN w:val="0"/>
        <w:adjustRightInd w:val="0"/>
        <w:spacing w:after="120" w:line="276" w:lineRule="auto"/>
        <w:jc w:val="both"/>
        <w:rPr>
          <w:rFonts w:ascii="Verdana" w:eastAsia="Calibri" w:hAnsi="Verdana" w:cs="Arial"/>
          <w:sz w:val="22"/>
          <w:szCs w:val="22"/>
        </w:rPr>
      </w:pPr>
      <w:r w:rsidRPr="007E33E3">
        <w:rPr>
          <w:rFonts w:ascii="Verdana" w:eastAsia="Calibri" w:hAnsi="Verdana" w:cs="Verdana"/>
          <w:sz w:val="22"/>
          <w:szCs w:val="22"/>
        </w:rPr>
        <w:t xml:space="preserve">In addition, a number of non-city partners </w:t>
      </w:r>
      <w:r w:rsidR="00155DD3" w:rsidRPr="007E33E3">
        <w:rPr>
          <w:rFonts w:ascii="Verdana" w:eastAsia="Calibri" w:hAnsi="Verdana" w:cs="Verdana"/>
          <w:sz w:val="22"/>
          <w:szCs w:val="22"/>
        </w:rPr>
        <w:t>are</w:t>
      </w:r>
      <w:r w:rsidRPr="007E33E3">
        <w:rPr>
          <w:rFonts w:ascii="Verdana" w:eastAsia="Calibri" w:hAnsi="Verdana" w:cs="Verdana"/>
          <w:sz w:val="22"/>
          <w:szCs w:val="22"/>
        </w:rPr>
        <w:t xml:space="preserve"> eligible </w:t>
      </w:r>
      <w:r w:rsidRPr="007E33E3">
        <w:rPr>
          <w:rFonts w:ascii="Verdana" w:eastAsia="Calibri" w:hAnsi="Verdana" w:cs="Verdana"/>
          <w:sz w:val="22"/>
          <w:szCs w:val="22"/>
          <w:u w:val="single"/>
        </w:rPr>
        <w:t>for</w:t>
      </w:r>
      <w:r w:rsidRPr="007E33E3">
        <w:rPr>
          <w:rFonts w:ascii="Verdana" w:eastAsia="Calibri" w:hAnsi="Verdana" w:cs="Verdana"/>
          <w:sz w:val="22"/>
          <w:szCs w:val="22"/>
        </w:rPr>
        <w:t xml:space="preserve"> actions implemented under Objective 2. The list of other eligible beneficiaries is defined as follows:</w:t>
      </w:r>
    </w:p>
    <w:p w:rsidR="00E3226F" w:rsidRPr="007E33E3" w:rsidRDefault="00E3226F" w:rsidP="00D67ECF">
      <w:pPr>
        <w:pStyle w:val="afd"/>
        <w:widowControl w:val="0"/>
        <w:numPr>
          <w:ilvl w:val="0"/>
          <w:numId w:val="32"/>
        </w:numPr>
        <w:tabs>
          <w:tab w:val="left" w:pos="940"/>
          <w:tab w:val="left" w:pos="1440"/>
        </w:tabs>
        <w:autoSpaceDE w:val="0"/>
        <w:autoSpaceDN w:val="0"/>
        <w:adjustRightInd w:val="0"/>
        <w:spacing w:after="120"/>
        <w:ind w:left="714" w:hanging="357"/>
        <w:contextualSpacing w:val="0"/>
        <w:rPr>
          <w:rFonts w:ascii="Verdana" w:hAnsi="Verdana" w:cs="Arial"/>
        </w:rPr>
      </w:pPr>
      <w:r w:rsidRPr="007E33E3">
        <w:rPr>
          <w:rFonts w:ascii="Verdana" w:hAnsi="Verdana" w:cs="Verdana"/>
        </w:rPr>
        <w:t xml:space="preserve">Local agencies defined as public or semi-public organisations set up by a city, </w:t>
      </w:r>
      <w:r w:rsidRPr="007E33E3">
        <w:rPr>
          <w:rFonts w:ascii="Verdana" w:hAnsi="Verdana" w:cs="Arial"/>
        </w:rPr>
        <w:t>partially or fully owned by the city authority, responsible for the design and implementation of specific policies (economic development, energy supply, health services, transport, etc.)</w:t>
      </w:r>
    </w:p>
    <w:p w:rsidR="00E3226F" w:rsidRPr="007E33E3" w:rsidRDefault="00E3226F" w:rsidP="00D67ECF">
      <w:pPr>
        <w:pStyle w:val="afd"/>
        <w:widowControl w:val="0"/>
        <w:numPr>
          <w:ilvl w:val="0"/>
          <w:numId w:val="32"/>
        </w:numPr>
        <w:tabs>
          <w:tab w:val="left" w:pos="940"/>
          <w:tab w:val="left" w:pos="1440"/>
        </w:tabs>
        <w:autoSpaceDE w:val="0"/>
        <w:autoSpaceDN w:val="0"/>
        <w:adjustRightInd w:val="0"/>
        <w:spacing w:after="120"/>
        <w:ind w:left="714" w:hanging="357"/>
        <w:contextualSpacing w:val="0"/>
        <w:rPr>
          <w:rFonts w:ascii="Verdana" w:hAnsi="Verdana" w:cs="Arial"/>
        </w:rPr>
      </w:pPr>
      <w:r w:rsidRPr="007E33E3">
        <w:rPr>
          <w:rFonts w:ascii="Verdana" w:hAnsi="Verdana" w:cs="Verdana"/>
        </w:rPr>
        <w:t>Provincial, regional and national authorities, as far as urban issues are concerned;</w:t>
      </w:r>
    </w:p>
    <w:p w:rsidR="00E3226F" w:rsidRPr="007E33E3" w:rsidRDefault="00E3226F" w:rsidP="00D67ECF">
      <w:pPr>
        <w:pStyle w:val="afd"/>
        <w:widowControl w:val="0"/>
        <w:numPr>
          <w:ilvl w:val="0"/>
          <w:numId w:val="32"/>
        </w:numPr>
        <w:tabs>
          <w:tab w:val="left" w:pos="940"/>
          <w:tab w:val="left" w:pos="1440"/>
        </w:tabs>
        <w:autoSpaceDE w:val="0"/>
        <w:autoSpaceDN w:val="0"/>
        <w:adjustRightInd w:val="0"/>
        <w:spacing w:after="120"/>
        <w:ind w:left="714" w:hanging="357"/>
        <w:contextualSpacing w:val="0"/>
        <w:rPr>
          <w:rFonts w:ascii="Verdana" w:hAnsi="Verdana" w:cs="Arial"/>
        </w:rPr>
      </w:pPr>
      <w:r w:rsidRPr="007E33E3">
        <w:rPr>
          <w:rFonts w:ascii="Verdana" w:hAnsi="Verdana" w:cs="Verdana"/>
        </w:rPr>
        <w:t>Universities and research centres, as far as urban issues are concerned</w:t>
      </w:r>
    </w:p>
    <w:p w:rsidR="00E3226F" w:rsidRPr="007E33E3" w:rsidRDefault="00E3226F" w:rsidP="00E60AC2">
      <w:pPr>
        <w:spacing w:after="120" w:line="276" w:lineRule="auto"/>
        <w:rPr>
          <w:rFonts w:ascii="Verdana" w:eastAsia="Calibri" w:hAnsi="Verdana" w:cs="Verdana"/>
          <w:sz w:val="22"/>
          <w:szCs w:val="22"/>
        </w:rPr>
      </w:pPr>
    </w:p>
    <w:p w:rsidR="009167B5" w:rsidRPr="007E33E3" w:rsidRDefault="00155DD3" w:rsidP="00E60AC2">
      <w:pPr>
        <w:spacing w:after="120" w:line="276" w:lineRule="auto"/>
        <w:jc w:val="both"/>
        <w:rPr>
          <w:rFonts w:ascii="Verdana" w:eastAsia="Calibri" w:hAnsi="Verdana" w:cs="Verdana"/>
          <w:sz w:val="22"/>
          <w:szCs w:val="22"/>
        </w:rPr>
      </w:pPr>
      <w:r w:rsidRPr="007E33E3">
        <w:rPr>
          <w:rFonts w:ascii="Verdana" w:eastAsia="Calibri" w:hAnsi="Verdana" w:cs="Verdana"/>
          <w:sz w:val="22"/>
          <w:szCs w:val="22"/>
        </w:rPr>
        <w:t>P</w:t>
      </w:r>
      <w:r w:rsidR="002E5CA7" w:rsidRPr="007E33E3">
        <w:rPr>
          <w:rFonts w:ascii="Verdana" w:eastAsia="Calibri" w:hAnsi="Verdana" w:cs="Verdana"/>
          <w:sz w:val="22"/>
          <w:szCs w:val="22"/>
        </w:rPr>
        <w:t xml:space="preserve">riority </w:t>
      </w:r>
      <w:r w:rsidRPr="007E33E3">
        <w:rPr>
          <w:rFonts w:ascii="Verdana" w:eastAsia="Calibri" w:hAnsi="Verdana" w:cs="Verdana"/>
          <w:sz w:val="22"/>
          <w:szCs w:val="22"/>
        </w:rPr>
        <w:t>will</w:t>
      </w:r>
      <w:r w:rsidR="002E5CA7" w:rsidRPr="007E33E3">
        <w:rPr>
          <w:rFonts w:ascii="Verdana" w:eastAsia="Calibri" w:hAnsi="Verdana" w:cs="Verdana"/>
          <w:sz w:val="22"/>
          <w:szCs w:val="22"/>
        </w:rPr>
        <w:t xml:space="preserve"> be given to cities</w:t>
      </w:r>
      <w:r w:rsidRPr="007E33E3">
        <w:rPr>
          <w:rFonts w:ascii="Verdana" w:eastAsia="Calibri" w:hAnsi="Verdana" w:cs="Verdana"/>
          <w:sz w:val="22"/>
          <w:szCs w:val="22"/>
        </w:rPr>
        <w:t xml:space="preserve"> under Objective 2</w:t>
      </w:r>
      <w:r w:rsidR="002E5CA7" w:rsidRPr="007E33E3">
        <w:rPr>
          <w:rFonts w:ascii="Verdana" w:eastAsia="Calibri" w:hAnsi="Verdana" w:cs="Verdana"/>
          <w:sz w:val="22"/>
          <w:szCs w:val="22"/>
        </w:rPr>
        <w:t xml:space="preserve">. </w:t>
      </w:r>
      <w:r w:rsidRPr="007E33E3">
        <w:rPr>
          <w:rFonts w:ascii="Verdana" w:eastAsia="Calibri" w:hAnsi="Verdana" w:cs="Verdana"/>
          <w:sz w:val="22"/>
          <w:szCs w:val="22"/>
        </w:rPr>
        <w:t>T</w:t>
      </w:r>
      <w:r w:rsidR="002E5CA7" w:rsidRPr="007E33E3">
        <w:rPr>
          <w:rFonts w:ascii="Verdana" w:eastAsia="Calibri" w:hAnsi="Verdana" w:cs="Verdana"/>
          <w:sz w:val="22"/>
          <w:szCs w:val="22"/>
        </w:rPr>
        <w:t xml:space="preserve">he number of non-city partners in action-planning networks </w:t>
      </w:r>
      <w:r w:rsidRPr="007E33E3">
        <w:rPr>
          <w:rFonts w:ascii="Verdana" w:eastAsia="Calibri" w:hAnsi="Verdana" w:cs="Verdana"/>
          <w:sz w:val="22"/>
          <w:szCs w:val="22"/>
        </w:rPr>
        <w:t>will</w:t>
      </w:r>
      <w:r w:rsidR="002E5CA7" w:rsidRPr="007E33E3">
        <w:rPr>
          <w:rFonts w:ascii="Verdana" w:eastAsia="Calibri" w:hAnsi="Verdana" w:cs="Verdana"/>
          <w:sz w:val="22"/>
          <w:szCs w:val="22"/>
        </w:rPr>
        <w:t xml:space="preserve"> be limited. The maximum number of non-city partners </w:t>
      </w:r>
      <w:r w:rsidRPr="007E33E3">
        <w:rPr>
          <w:rFonts w:ascii="Verdana" w:eastAsia="Calibri" w:hAnsi="Verdana" w:cs="Verdana"/>
          <w:sz w:val="22"/>
          <w:szCs w:val="22"/>
        </w:rPr>
        <w:t>will</w:t>
      </w:r>
      <w:r w:rsidR="002E5CA7" w:rsidRPr="007E33E3">
        <w:rPr>
          <w:rFonts w:ascii="Verdana" w:eastAsia="Calibri" w:hAnsi="Verdana" w:cs="Verdana"/>
          <w:sz w:val="22"/>
          <w:szCs w:val="22"/>
        </w:rPr>
        <w:t xml:space="preserve"> be defined in the calls for proposals for the creation of action-planning networks.</w:t>
      </w:r>
    </w:p>
    <w:p w:rsidR="00F24251" w:rsidRPr="007E33E3" w:rsidRDefault="00F24251" w:rsidP="00E60AC2">
      <w:pPr>
        <w:spacing w:after="120" w:line="276" w:lineRule="auto"/>
        <w:rPr>
          <w:rFonts w:ascii="Verdana" w:hAnsi="Verdana"/>
          <w:sz w:val="22"/>
          <w:szCs w:val="22"/>
        </w:rPr>
      </w:pPr>
      <w:r w:rsidRPr="007E33E3">
        <w:rPr>
          <w:rFonts w:ascii="Verdana" w:hAnsi="Verdana"/>
          <w:sz w:val="22"/>
          <w:szCs w:val="22"/>
        </w:rPr>
        <w:t xml:space="preserve">Only public authorities and public equivalent bodies are eligible to </w:t>
      </w:r>
      <w:r w:rsidR="00155DD3" w:rsidRPr="007E33E3">
        <w:rPr>
          <w:rFonts w:ascii="Verdana" w:hAnsi="Verdana"/>
          <w:sz w:val="22"/>
          <w:szCs w:val="22"/>
        </w:rPr>
        <w:t xml:space="preserve">apply to </w:t>
      </w:r>
      <w:r w:rsidRPr="007E33E3">
        <w:rPr>
          <w:rFonts w:ascii="Verdana" w:hAnsi="Verdana"/>
          <w:sz w:val="22"/>
          <w:szCs w:val="22"/>
        </w:rPr>
        <w:t>the programme.</w:t>
      </w:r>
      <w:r w:rsidRPr="007E33E3">
        <w:rPr>
          <w:rStyle w:val="a5"/>
          <w:rFonts w:ascii="Verdana" w:eastAsia="Calibri" w:hAnsi="Verdana"/>
          <w:sz w:val="22"/>
          <w:szCs w:val="22"/>
        </w:rPr>
        <w:footnoteReference w:id="34"/>
      </w:r>
      <w:r w:rsidRPr="007E33E3">
        <w:rPr>
          <w:rFonts w:ascii="Verdana" w:hAnsi="Verdana"/>
          <w:sz w:val="22"/>
          <w:szCs w:val="22"/>
        </w:rPr>
        <w:t xml:space="preserve"> </w:t>
      </w:r>
    </w:p>
    <w:p w:rsidR="009167B5" w:rsidRPr="007E33E3" w:rsidRDefault="009167B5" w:rsidP="00E60AC2">
      <w:pPr>
        <w:spacing w:after="120" w:line="276" w:lineRule="auto"/>
        <w:ind w:right="566"/>
        <w:jc w:val="both"/>
        <w:rPr>
          <w:rFonts w:ascii="Verdana" w:hAnsi="Verdana"/>
          <w:b/>
          <w:sz w:val="22"/>
          <w:szCs w:val="22"/>
        </w:rPr>
      </w:pPr>
    </w:p>
    <w:p w:rsidR="00E21452" w:rsidRPr="007E33E3" w:rsidRDefault="00E21452" w:rsidP="00E60AC2">
      <w:pPr>
        <w:spacing w:after="120" w:line="276" w:lineRule="auto"/>
        <w:ind w:right="566"/>
        <w:jc w:val="both"/>
        <w:rPr>
          <w:rFonts w:ascii="Verdana" w:hAnsi="Verdana"/>
          <w:b/>
          <w:sz w:val="22"/>
          <w:szCs w:val="22"/>
          <w:u w:val="single"/>
        </w:rPr>
      </w:pPr>
      <w:r w:rsidRPr="007E33E3">
        <w:rPr>
          <w:rFonts w:ascii="Verdana" w:hAnsi="Verdana"/>
          <w:b/>
          <w:sz w:val="22"/>
          <w:szCs w:val="22"/>
        </w:rPr>
        <w:t>c/</w:t>
      </w:r>
      <w:r w:rsidRPr="007E33E3">
        <w:rPr>
          <w:rFonts w:ascii="Verdana" w:hAnsi="Verdana"/>
          <w:sz w:val="22"/>
          <w:szCs w:val="22"/>
        </w:rPr>
        <w:t xml:space="preserve"> </w:t>
      </w:r>
      <w:r w:rsidRPr="007E33E3">
        <w:rPr>
          <w:rFonts w:ascii="Verdana" w:hAnsi="Verdana"/>
          <w:b/>
          <w:sz w:val="22"/>
          <w:szCs w:val="22"/>
        </w:rPr>
        <w:t>Improving the implementation of sustainable urban policies (specific objective 3)</w:t>
      </w:r>
    </w:p>
    <w:p w:rsidR="00E21452" w:rsidRPr="007E33E3" w:rsidRDefault="00E21452" w:rsidP="00E60AC2">
      <w:pPr>
        <w:spacing w:after="120" w:line="276" w:lineRule="auto"/>
        <w:ind w:right="566"/>
        <w:jc w:val="both"/>
        <w:rPr>
          <w:rFonts w:ascii="Verdana" w:hAnsi="Verdana"/>
          <w:b/>
          <w:sz w:val="22"/>
          <w:szCs w:val="22"/>
          <w:u w:val="single"/>
        </w:rPr>
      </w:pPr>
    </w:p>
    <w:p w:rsidR="009167B5" w:rsidRPr="003B7BFA" w:rsidRDefault="00E21452" w:rsidP="00E60AC2">
      <w:pPr>
        <w:spacing w:after="120" w:line="276" w:lineRule="auto"/>
        <w:ind w:right="566"/>
        <w:jc w:val="both"/>
        <w:rPr>
          <w:rFonts w:ascii="Verdana" w:hAnsi="Verdana"/>
          <w:b/>
          <w:i/>
          <w:sz w:val="22"/>
          <w:szCs w:val="22"/>
          <w:u w:val="single"/>
        </w:rPr>
      </w:pPr>
      <w:r w:rsidRPr="003B7BFA">
        <w:rPr>
          <w:rFonts w:ascii="Verdana" w:hAnsi="Verdana"/>
          <w:b/>
          <w:i/>
          <w:sz w:val="22"/>
          <w:szCs w:val="22"/>
          <w:u w:val="single"/>
        </w:rPr>
        <w:t>Contribution of activities to specific objective 3</w:t>
      </w:r>
    </w:p>
    <w:p w:rsidR="003F234F" w:rsidRPr="007E33E3" w:rsidRDefault="003F234F" w:rsidP="00E60AC2">
      <w:pPr>
        <w:spacing w:after="120" w:line="276" w:lineRule="auto"/>
        <w:ind w:right="566"/>
        <w:jc w:val="both"/>
        <w:rPr>
          <w:rFonts w:ascii="Verdana" w:hAnsi="Verdana"/>
          <w:sz w:val="22"/>
          <w:szCs w:val="22"/>
          <w:u w:val="single"/>
        </w:rPr>
      </w:pPr>
    </w:p>
    <w:p w:rsidR="00E21452" w:rsidRPr="007E33E3" w:rsidRDefault="009167B5" w:rsidP="00E60AC2">
      <w:pPr>
        <w:spacing w:after="120" w:line="276" w:lineRule="auto"/>
        <w:ind w:right="566"/>
        <w:jc w:val="both"/>
        <w:rPr>
          <w:rFonts w:ascii="Verdana" w:hAnsi="Verdana"/>
          <w:sz w:val="22"/>
          <w:szCs w:val="22"/>
        </w:rPr>
      </w:pPr>
      <w:r w:rsidRPr="007E33E3">
        <w:rPr>
          <w:rFonts w:ascii="Verdana" w:hAnsi="Verdana"/>
          <w:sz w:val="22"/>
          <w:szCs w:val="22"/>
        </w:rPr>
        <w:t>T</w:t>
      </w:r>
      <w:r w:rsidR="00E21452" w:rsidRPr="007E33E3">
        <w:rPr>
          <w:rFonts w:ascii="Verdana" w:hAnsi="Verdana"/>
          <w:sz w:val="22"/>
          <w:szCs w:val="22"/>
        </w:rPr>
        <w:t>he programme will support the implementation of integrated strategies and action plans for sustainable urban development in European cities. This will be mainly achieved through “Implementation networks” dedicated to cities implementing integrated urban strategies/ action plans with secured funds</w:t>
      </w:r>
      <w:r w:rsidR="00E21452" w:rsidRPr="007E33E3">
        <w:rPr>
          <w:rStyle w:val="a5"/>
          <w:rFonts w:ascii="Verdana" w:eastAsia="Calibri" w:hAnsi="Verdana"/>
          <w:sz w:val="22"/>
          <w:szCs w:val="22"/>
        </w:rPr>
        <w:footnoteReference w:id="35"/>
      </w:r>
      <w:r w:rsidR="00E21452" w:rsidRPr="007E33E3">
        <w:rPr>
          <w:rFonts w:ascii="Verdana" w:hAnsi="Verdana"/>
          <w:sz w:val="22"/>
          <w:szCs w:val="22"/>
        </w:rPr>
        <w:t xml:space="preserve"> and through “Transfer networks” which support the re-use of a good practice already implemented in a city (and </w:t>
      </w:r>
      <w:r w:rsidR="009F6D02" w:rsidRPr="007E33E3">
        <w:rPr>
          <w:rFonts w:ascii="Verdana" w:hAnsi="Verdana"/>
          <w:sz w:val="22"/>
          <w:szCs w:val="22"/>
        </w:rPr>
        <w:t xml:space="preserve">the </w:t>
      </w:r>
      <w:r w:rsidR="00E21452" w:rsidRPr="007E33E3">
        <w:rPr>
          <w:rFonts w:ascii="Verdana" w:hAnsi="Verdana"/>
          <w:sz w:val="22"/>
          <w:szCs w:val="22"/>
        </w:rPr>
        <w:t>subsequent enhancement of the good practice building on lessons learnt through the re-use).</w:t>
      </w:r>
    </w:p>
    <w:p w:rsidR="00E21452" w:rsidRPr="007E33E3" w:rsidRDefault="00E21452" w:rsidP="00E60AC2">
      <w:pPr>
        <w:spacing w:after="120" w:line="276" w:lineRule="auto"/>
        <w:ind w:right="566"/>
        <w:jc w:val="both"/>
        <w:rPr>
          <w:rFonts w:ascii="Verdana" w:hAnsi="Verdana"/>
          <w:sz w:val="22"/>
          <w:szCs w:val="22"/>
        </w:rPr>
      </w:pPr>
      <w:r w:rsidRPr="007E33E3">
        <w:rPr>
          <w:rFonts w:ascii="Verdana" w:hAnsi="Verdana"/>
          <w:sz w:val="22"/>
          <w:szCs w:val="22"/>
        </w:rPr>
        <w:t xml:space="preserve">Implementation networks will allow cities to share challenges and solutions, </w:t>
      </w:r>
      <w:r w:rsidR="009F6D02" w:rsidRPr="007E33E3">
        <w:rPr>
          <w:rFonts w:ascii="Verdana" w:hAnsi="Verdana"/>
          <w:sz w:val="22"/>
          <w:szCs w:val="22"/>
        </w:rPr>
        <w:t xml:space="preserve">to </w:t>
      </w:r>
      <w:r w:rsidRPr="007E33E3">
        <w:rPr>
          <w:rFonts w:ascii="Verdana" w:hAnsi="Verdana"/>
          <w:sz w:val="22"/>
          <w:szCs w:val="22"/>
        </w:rPr>
        <w:t xml:space="preserve">support one another to ensure an efficient implementation process, </w:t>
      </w:r>
      <w:r w:rsidR="009F6D02" w:rsidRPr="007E33E3">
        <w:rPr>
          <w:rFonts w:ascii="Verdana" w:hAnsi="Verdana"/>
          <w:sz w:val="22"/>
          <w:szCs w:val="22"/>
        </w:rPr>
        <w:t xml:space="preserve">to </w:t>
      </w:r>
      <w:r w:rsidRPr="007E33E3">
        <w:rPr>
          <w:rFonts w:ascii="Verdana" w:hAnsi="Verdana"/>
          <w:sz w:val="22"/>
          <w:szCs w:val="22"/>
        </w:rPr>
        <w:t>draw lessons out of their experience and share results. Transnational exchange will focus on issues related to the implementation</w:t>
      </w:r>
      <w:r w:rsidR="009F6D02" w:rsidRPr="007E33E3">
        <w:rPr>
          <w:rFonts w:ascii="Verdana" w:hAnsi="Verdana"/>
          <w:sz w:val="22"/>
          <w:szCs w:val="22"/>
        </w:rPr>
        <w:t xml:space="preserve"> of integrated strategies/ action plans</w:t>
      </w:r>
      <w:r w:rsidRPr="007E33E3">
        <w:rPr>
          <w:rFonts w:ascii="Verdana" w:hAnsi="Verdana"/>
          <w:sz w:val="22"/>
          <w:szCs w:val="22"/>
        </w:rPr>
        <w:t xml:space="preserve"> (e.g. </w:t>
      </w:r>
      <w:r w:rsidRPr="007E33E3">
        <w:rPr>
          <w:rFonts w:ascii="Verdana" w:hAnsi="Verdana" w:cs="Arial"/>
          <w:sz w:val="22"/>
          <w:szCs w:val="22"/>
        </w:rPr>
        <w:t>steering, funding, monitoring</w:t>
      </w:r>
      <w:r w:rsidRPr="007E33E3">
        <w:rPr>
          <w:rFonts w:ascii="Verdana" w:hAnsi="Verdana"/>
          <w:sz w:val="22"/>
          <w:szCs w:val="22"/>
        </w:rPr>
        <w:t>, etc.).</w:t>
      </w:r>
    </w:p>
    <w:p w:rsidR="00E21452" w:rsidRPr="007E33E3" w:rsidRDefault="00E21452" w:rsidP="00E60AC2">
      <w:pPr>
        <w:spacing w:after="120" w:line="276" w:lineRule="auto"/>
        <w:ind w:right="566"/>
        <w:jc w:val="both"/>
        <w:rPr>
          <w:rFonts w:ascii="Verdana" w:hAnsi="Verdana"/>
          <w:sz w:val="22"/>
          <w:szCs w:val="22"/>
        </w:rPr>
      </w:pPr>
    </w:p>
    <w:p w:rsidR="003F234F" w:rsidRDefault="003F234F">
      <w:pPr>
        <w:rPr>
          <w:rFonts w:ascii="Verdana" w:hAnsi="Verdana"/>
          <w:i/>
          <w:sz w:val="22"/>
          <w:szCs w:val="22"/>
          <w:u w:val="single"/>
        </w:rPr>
      </w:pPr>
      <w:r>
        <w:rPr>
          <w:rFonts w:ascii="Verdana" w:hAnsi="Verdana"/>
          <w:i/>
          <w:sz w:val="22"/>
          <w:szCs w:val="22"/>
          <w:u w:val="single"/>
        </w:rPr>
        <w:br w:type="page"/>
      </w:r>
    </w:p>
    <w:p w:rsidR="009167B5" w:rsidRPr="007E33E3" w:rsidRDefault="009167B5" w:rsidP="00E60AC2">
      <w:pPr>
        <w:spacing w:after="120" w:line="276" w:lineRule="auto"/>
        <w:ind w:right="566"/>
        <w:jc w:val="both"/>
        <w:rPr>
          <w:rFonts w:ascii="Verdana" w:hAnsi="Verdana"/>
          <w:i/>
          <w:sz w:val="22"/>
          <w:szCs w:val="22"/>
          <w:u w:val="single"/>
        </w:rPr>
      </w:pPr>
      <w:r w:rsidRPr="007E33E3">
        <w:rPr>
          <w:rFonts w:ascii="Verdana" w:hAnsi="Verdana"/>
          <w:i/>
          <w:sz w:val="22"/>
          <w:szCs w:val="22"/>
          <w:u w:val="single"/>
        </w:rPr>
        <w:t>Actions</w:t>
      </w:r>
    </w:p>
    <w:p w:rsidR="009167B5" w:rsidRPr="007E33E3" w:rsidRDefault="009167B5" w:rsidP="00E60AC2">
      <w:pPr>
        <w:spacing w:after="120" w:line="276" w:lineRule="auto"/>
        <w:ind w:right="566"/>
        <w:jc w:val="both"/>
        <w:rPr>
          <w:rFonts w:ascii="Verdana" w:hAnsi="Verdana"/>
          <w:sz w:val="22"/>
          <w:szCs w:val="22"/>
        </w:rPr>
      </w:pPr>
    </w:p>
    <w:p w:rsidR="00E73A82" w:rsidRPr="007E33E3" w:rsidRDefault="002E5CA7" w:rsidP="00E60AC2">
      <w:pPr>
        <w:spacing w:after="120" w:line="276" w:lineRule="auto"/>
        <w:ind w:right="566"/>
        <w:jc w:val="both"/>
        <w:rPr>
          <w:rFonts w:ascii="Verdana" w:hAnsi="Verdana"/>
          <w:sz w:val="22"/>
          <w:szCs w:val="22"/>
          <w:u w:val="single"/>
        </w:rPr>
      </w:pPr>
      <w:r w:rsidRPr="007E33E3">
        <w:rPr>
          <w:rFonts w:ascii="Verdana" w:hAnsi="Verdana"/>
          <w:sz w:val="22"/>
          <w:szCs w:val="22"/>
        </w:rPr>
        <w:t>The main actions that can be supported under Implementation networks are the following (indicative list):</w:t>
      </w:r>
    </w:p>
    <w:p w:rsidR="00E21452" w:rsidRPr="007E33E3" w:rsidRDefault="00E21452" w:rsidP="00D67ECF">
      <w:pPr>
        <w:numPr>
          <w:ilvl w:val="0"/>
          <w:numId w:val="33"/>
        </w:numPr>
        <w:spacing w:after="120" w:line="276" w:lineRule="auto"/>
        <w:ind w:left="714" w:right="567" w:hanging="357"/>
        <w:jc w:val="both"/>
        <w:rPr>
          <w:rFonts w:ascii="Verdana" w:hAnsi="Verdana"/>
          <w:sz w:val="22"/>
          <w:szCs w:val="22"/>
        </w:rPr>
      </w:pPr>
      <w:r w:rsidRPr="007E33E3">
        <w:rPr>
          <w:rFonts w:ascii="Verdana" w:hAnsi="Verdana"/>
          <w:sz w:val="22"/>
          <w:szCs w:val="22"/>
        </w:rPr>
        <w:t>Transnational exchange seminars, including study visits, staff exchange, peer-reviews, etc.</w:t>
      </w:r>
    </w:p>
    <w:p w:rsidR="00E21452" w:rsidRPr="007E33E3" w:rsidRDefault="00E21452" w:rsidP="00D67ECF">
      <w:pPr>
        <w:numPr>
          <w:ilvl w:val="0"/>
          <w:numId w:val="33"/>
        </w:numPr>
        <w:spacing w:after="120" w:line="276" w:lineRule="auto"/>
        <w:ind w:left="714" w:right="567" w:hanging="357"/>
        <w:jc w:val="both"/>
        <w:rPr>
          <w:rFonts w:ascii="Verdana" w:hAnsi="Verdana"/>
          <w:sz w:val="22"/>
          <w:szCs w:val="22"/>
        </w:rPr>
      </w:pPr>
      <w:r w:rsidRPr="007E33E3">
        <w:rPr>
          <w:rFonts w:ascii="Verdana" w:hAnsi="Verdana"/>
          <w:sz w:val="22"/>
          <w:szCs w:val="22"/>
        </w:rPr>
        <w:t xml:space="preserve">Use of monitoring tools </w:t>
      </w:r>
    </w:p>
    <w:p w:rsidR="00E21452" w:rsidRPr="007E33E3" w:rsidRDefault="00E21452" w:rsidP="00D67ECF">
      <w:pPr>
        <w:numPr>
          <w:ilvl w:val="0"/>
          <w:numId w:val="33"/>
        </w:numPr>
        <w:spacing w:after="120" w:line="276" w:lineRule="auto"/>
        <w:ind w:left="714" w:right="567" w:hanging="357"/>
        <w:jc w:val="both"/>
        <w:rPr>
          <w:rFonts w:ascii="Verdana" w:hAnsi="Verdana"/>
          <w:sz w:val="22"/>
          <w:szCs w:val="22"/>
        </w:rPr>
      </w:pPr>
      <w:r w:rsidRPr="007E33E3">
        <w:rPr>
          <w:rFonts w:ascii="Verdana" w:hAnsi="Verdana"/>
          <w:sz w:val="22"/>
          <w:szCs w:val="22"/>
        </w:rPr>
        <w:t>Setting up and running local partnerships involving stakeholders to ensure a participatory and integrated approach in the implementation</w:t>
      </w:r>
    </w:p>
    <w:p w:rsidR="00E21452" w:rsidRPr="007E33E3" w:rsidRDefault="00E21452" w:rsidP="00D67ECF">
      <w:pPr>
        <w:numPr>
          <w:ilvl w:val="0"/>
          <w:numId w:val="33"/>
        </w:numPr>
        <w:spacing w:after="120" w:line="276" w:lineRule="auto"/>
        <w:ind w:left="714" w:right="567" w:hanging="357"/>
        <w:jc w:val="both"/>
        <w:rPr>
          <w:rFonts w:ascii="Verdana" w:hAnsi="Verdana"/>
          <w:sz w:val="22"/>
          <w:szCs w:val="22"/>
        </w:rPr>
      </w:pPr>
      <w:r w:rsidRPr="007E33E3">
        <w:rPr>
          <w:rFonts w:ascii="Verdana" w:hAnsi="Verdana"/>
          <w:sz w:val="22"/>
          <w:szCs w:val="22"/>
        </w:rPr>
        <w:t>Communication on network activities and results</w:t>
      </w:r>
    </w:p>
    <w:p w:rsidR="00E21452" w:rsidRPr="007E33E3" w:rsidRDefault="00E21452" w:rsidP="00D67ECF">
      <w:pPr>
        <w:numPr>
          <w:ilvl w:val="0"/>
          <w:numId w:val="33"/>
        </w:numPr>
        <w:spacing w:after="120" w:line="276" w:lineRule="auto"/>
        <w:ind w:left="714" w:right="567" w:hanging="357"/>
        <w:jc w:val="both"/>
        <w:rPr>
          <w:rFonts w:ascii="Verdana" w:hAnsi="Verdana"/>
          <w:sz w:val="22"/>
          <w:szCs w:val="22"/>
        </w:rPr>
      </w:pPr>
      <w:r w:rsidRPr="007E33E3">
        <w:rPr>
          <w:rFonts w:ascii="Verdana" w:hAnsi="Verdana"/>
          <w:sz w:val="22"/>
          <w:szCs w:val="22"/>
        </w:rPr>
        <w:t>Expertise to support partner cities in implementing integrated urban strategies/ actions.</w:t>
      </w:r>
    </w:p>
    <w:p w:rsidR="001769A5" w:rsidRPr="007E33E3" w:rsidRDefault="001769A5" w:rsidP="00E60AC2">
      <w:pPr>
        <w:spacing w:after="120" w:line="276" w:lineRule="auto"/>
        <w:ind w:right="566"/>
        <w:jc w:val="both"/>
        <w:rPr>
          <w:rFonts w:ascii="Verdana" w:hAnsi="Verdana"/>
          <w:sz w:val="22"/>
          <w:szCs w:val="22"/>
        </w:rPr>
      </w:pPr>
    </w:p>
    <w:p w:rsidR="003910DB" w:rsidRPr="007E33E3" w:rsidRDefault="002E5CA7" w:rsidP="00E60AC2">
      <w:pPr>
        <w:spacing w:after="120" w:line="276" w:lineRule="auto"/>
        <w:ind w:right="566"/>
        <w:jc w:val="both"/>
        <w:rPr>
          <w:rFonts w:ascii="Verdana" w:hAnsi="Verdana"/>
          <w:sz w:val="22"/>
          <w:szCs w:val="22"/>
          <w:u w:val="single"/>
        </w:rPr>
      </w:pPr>
      <w:r w:rsidRPr="007E33E3">
        <w:rPr>
          <w:rFonts w:ascii="Verdana" w:hAnsi="Verdana"/>
          <w:sz w:val="22"/>
          <w:szCs w:val="22"/>
        </w:rPr>
        <w:t>The main actions that can be supported under Transfer networks are the following (indicative list):</w:t>
      </w:r>
    </w:p>
    <w:p w:rsidR="000F0345" w:rsidRPr="007E33E3" w:rsidRDefault="000F0345" w:rsidP="00D67ECF">
      <w:pPr>
        <w:numPr>
          <w:ilvl w:val="0"/>
          <w:numId w:val="34"/>
        </w:numPr>
        <w:spacing w:after="120" w:line="276" w:lineRule="auto"/>
        <w:ind w:right="567"/>
        <w:jc w:val="both"/>
        <w:rPr>
          <w:rFonts w:ascii="Verdana" w:hAnsi="Verdana"/>
          <w:sz w:val="22"/>
          <w:szCs w:val="22"/>
        </w:rPr>
      </w:pPr>
      <w:r w:rsidRPr="007E33E3">
        <w:rPr>
          <w:rFonts w:ascii="Verdana" w:hAnsi="Verdana"/>
          <w:sz w:val="22"/>
          <w:szCs w:val="22"/>
        </w:rPr>
        <w:t>Production of baseline with the description of the practice to be transferred and the context of transfer for all cities</w:t>
      </w:r>
    </w:p>
    <w:p w:rsidR="000F0345" w:rsidRPr="007E33E3" w:rsidRDefault="000F0345" w:rsidP="00D67ECF">
      <w:pPr>
        <w:numPr>
          <w:ilvl w:val="0"/>
          <w:numId w:val="34"/>
        </w:numPr>
        <w:spacing w:after="120" w:line="276" w:lineRule="auto"/>
        <w:ind w:right="567"/>
        <w:jc w:val="both"/>
        <w:rPr>
          <w:rFonts w:ascii="Verdana" w:hAnsi="Verdana"/>
          <w:sz w:val="22"/>
          <w:szCs w:val="22"/>
        </w:rPr>
      </w:pPr>
      <w:r w:rsidRPr="007E33E3">
        <w:rPr>
          <w:rFonts w:ascii="Verdana" w:hAnsi="Verdana"/>
          <w:sz w:val="22"/>
          <w:szCs w:val="22"/>
        </w:rPr>
        <w:t>Transnational exchange seminars, including study visits, peer-reviews, etc.</w:t>
      </w:r>
    </w:p>
    <w:p w:rsidR="000F0345" w:rsidRPr="007E33E3" w:rsidRDefault="000F0345" w:rsidP="00D67ECF">
      <w:pPr>
        <w:numPr>
          <w:ilvl w:val="0"/>
          <w:numId w:val="34"/>
        </w:numPr>
        <w:spacing w:after="120" w:line="276" w:lineRule="auto"/>
        <w:ind w:right="567"/>
        <w:jc w:val="both"/>
        <w:rPr>
          <w:rFonts w:ascii="Verdana" w:hAnsi="Verdana"/>
          <w:sz w:val="22"/>
          <w:szCs w:val="22"/>
        </w:rPr>
      </w:pPr>
      <w:r w:rsidRPr="007E33E3">
        <w:rPr>
          <w:rFonts w:ascii="Verdana" w:hAnsi="Verdana"/>
          <w:sz w:val="22"/>
          <w:szCs w:val="22"/>
        </w:rPr>
        <w:t xml:space="preserve">Setting up and running local partnerships involving stakeholders to ensure a participatory and integrated approach </w:t>
      </w:r>
    </w:p>
    <w:p w:rsidR="000F0345" w:rsidRPr="007E33E3" w:rsidRDefault="000F0345" w:rsidP="00D67ECF">
      <w:pPr>
        <w:numPr>
          <w:ilvl w:val="0"/>
          <w:numId w:val="34"/>
        </w:numPr>
        <w:spacing w:after="120" w:line="276" w:lineRule="auto"/>
        <w:ind w:right="567"/>
        <w:jc w:val="both"/>
        <w:rPr>
          <w:rFonts w:ascii="Verdana" w:hAnsi="Verdana"/>
          <w:sz w:val="22"/>
          <w:szCs w:val="22"/>
        </w:rPr>
      </w:pPr>
      <w:r w:rsidRPr="007E33E3">
        <w:rPr>
          <w:rFonts w:ascii="Verdana" w:hAnsi="Verdana"/>
          <w:sz w:val="22"/>
          <w:szCs w:val="22"/>
        </w:rPr>
        <w:t>Communication on network activities and results</w:t>
      </w:r>
    </w:p>
    <w:p w:rsidR="000F0345" w:rsidRPr="007E33E3" w:rsidRDefault="000F0345" w:rsidP="00D67ECF">
      <w:pPr>
        <w:numPr>
          <w:ilvl w:val="0"/>
          <w:numId w:val="34"/>
        </w:numPr>
        <w:spacing w:after="120" w:line="276" w:lineRule="auto"/>
        <w:ind w:right="567"/>
        <w:jc w:val="both"/>
        <w:rPr>
          <w:rFonts w:ascii="Verdana" w:hAnsi="Verdana"/>
          <w:sz w:val="22"/>
          <w:szCs w:val="22"/>
        </w:rPr>
      </w:pPr>
      <w:r w:rsidRPr="007E33E3">
        <w:rPr>
          <w:rFonts w:ascii="Verdana" w:hAnsi="Verdana"/>
          <w:sz w:val="22"/>
          <w:szCs w:val="22"/>
        </w:rPr>
        <w:t>Expertise to support partner cities, to monitor and assess the transfer of the good practice in each city.</w:t>
      </w:r>
    </w:p>
    <w:p w:rsidR="000F0345" w:rsidRPr="007E33E3" w:rsidRDefault="000F0345" w:rsidP="00E60AC2">
      <w:pPr>
        <w:spacing w:after="120" w:line="276" w:lineRule="auto"/>
        <w:ind w:right="566"/>
        <w:jc w:val="both"/>
        <w:rPr>
          <w:rFonts w:ascii="Verdana" w:hAnsi="Verdana"/>
          <w:sz w:val="22"/>
          <w:szCs w:val="22"/>
        </w:rPr>
      </w:pPr>
    </w:p>
    <w:p w:rsidR="001D2B32" w:rsidRPr="007E33E3" w:rsidRDefault="001D2B32" w:rsidP="00E60AC2">
      <w:pPr>
        <w:spacing w:after="120" w:line="276" w:lineRule="auto"/>
        <w:ind w:right="566"/>
        <w:jc w:val="both"/>
        <w:rPr>
          <w:rFonts w:ascii="Verdana" w:hAnsi="Verdana"/>
          <w:i/>
          <w:sz w:val="22"/>
          <w:szCs w:val="22"/>
        </w:rPr>
      </w:pPr>
      <w:r w:rsidRPr="007E33E3">
        <w:rPr>
          <w:rFonts w:ascii="Verdana" w:hAnsi="Verdana"/>
          <w:i/>
          <w:sz w:val="22"/>
          <w:szCs w:val="22"/>
        </w:rPr>
        <w:t>Main target groups and types of beneficiaries</w:t>
      </w:r>
      <w:r w:rsidR="00A90127" w:rsidRPr="007E33E3">
        <w:rPr>
          <w:rFonts w:ascii="Verdana" w:hAnsi="Verdana"/>
          <w:i/>
          <w:sz w:val="22"/>
          <w:szCs w:val="22"/>
        </w:rPr>
        <w:t xml:space="preserve"> </w:t>
      </w:r>
    </w:p>
    <w:p w:rsidR="003F234F" w:rsidRDefault="003F234F" w:rsidP="00E60AC2">
      <w:pPr>
        <w:widowControl w:val="0"/>
        <w:autoSpaceDE w:val="0"/>
        <w:autoSpaceDN w:val="0"/>
        <w:adjustRightInd w:val="0"/>
        <w:spacing w:after="120" w:line="276" w:lineRule="auto"/>
        <w:jc w:val="both"/>
        <w:rPr>
          <w:rFonts w:ascii="Verdana" w:eastAsia="Calibri" w:hAnsi="Verdana" w:cs="Verdana"/>
          <w:sz w:val="22"/>
          <w:szCs w:val="22"/>
        </w:rPr>
      </w:pPr>
    </w:p>
    <w:p w:rsidR="00A90127" w:rsidRPr="007E33E3" w:rsidRDefault="002E5CA7" w:rsidP="00E60AC2">
      <w:pPr>
        <w:widowControl w:val="0"/>
        <w:autoSpaceDE w:val="0"/>
        <w:autoSpaceDN w:val="0"/>
        <w:adjustRightInd w:val="0"/>
        <w:spacing w:after="120" w:line="276" w:lineRule="auto"/>
        <w:jc w:val="both"/>
        <w:rPr>
          <w:rFonts w:ascii="Verdana" w:eastAsia="Calibri" w:hAnsi="Verdana" w:cs="Verdana"/>
          <w:sz w:val="22"/>
          <w:szCs w:val="22"/>
        </w:rPr>
      </w:pPr>
      <w:r w:rsidRPr="007E33E3">
        <w:rPr>
          <w:rFonts w:ascii="Verdana" w:eastAsia="Calibri" w:hAnsi="Verdana" w:cs="Verdana"/>
          <w:sz w:val="22"/>
          <w:szCs w:val="22"/>
        </w:rPr>
        <w:t xml:space="preserve">The main beneficiaries of actions implemented under Objective 3 shall be cities from EU 28 Member States, Norway and Switzerland. For Implementation networks, beneficiaries shall be cities </w:t>
      </w:r>
      <w:r w:rsidR="00A90127" w:rsidRPr="007E33E3">
        <w:rPr>
          <w:rFonts w:ascii="Verdana" w:hAnsi="Verdana"/>
          <w:sz w:val="22"/>
          <w:szCs w:val="22"/>
        </w:rPr>
        <w:t xml:space="preserve">implementing integrated strategies and action plans </w:t>
      </w:r>
      <w:r w:rsidR="000A6D45" w:rsidRPr="007E33E3">
        <w:rPr>
          <w:rFonts w:ascii="Verdana" w:hAnsi="Verdana"/>
          <w:sz w:val="22"/>
          <w:szCs w:val="22"/>
        </w:rPr>
        <w:t xml:space="preserve">for sustainable urban development, </w:t>
      </w:r>
      <w:r w:rsidR="00A90127" w:rsidRPr="007E33E3">
        <w:rPr>
          <w:rFonts w:ascii="Verdana" w:hAnsi="Verdana"/>
          <w:sz w:val="22"/>
          <w:szCs w:val="22"/>
        </w:rPr>
        <w:t>using different types of funding</w:t>
      </w:r>
      <w:r w:rsidR="000A6D45" w:rsidRPr="007E33E3">
        <w:rPr>
          <w:rFonts w:ascii="Verdana" w:hAnsi="Verdana"/>
          <w:sz w:val="22"/>
          <w:szCs w:val="22"/>
        </w:rPr>
        <w:t xml:space="preserve">, </w:t>
      </w:r>
      <w:r w:rsidR="00A90127" w:rsidRPr="007E33E3">
        <w:rPr>
          <w:rFonts w:ascii="Verdana" w:hAnsi="Verdana"/>
          <w:sz w:val="22"/>
          <w:szCs w:val="22"/>
        </w:rPr>
        <w:t xml:space="preserve">including cities </w:t>
      </w:r>
      <w:r w:rsidR="000A6D45" w:rsidRPr="007E33E3">
        <w:rPr>
          <w:rFonts w:ascii="Verdana" w:hAnsi="Verdana"/>
          <w:sz w:val="22"/>
          <w:szCs w:val="22"/>
        </w:rPr>
        <w:t>funded</w:t>
      </w:r>
      <w:r w:rsidR="00A90127" w:rsidRPr="007E33E3">
        <w:rPr>
          <w:rFonts w:ascii="Verdana" w:hAnsi="Verdana"/>
          <w:sz w:val="22"/>
          <w:szCs w:val="22"/>
        </w:rPr>
        <w:t xml:space="preserve"> under art</w:t>
      </w:r>
      <w:r w:rsidR="000A6D45" w:rsidRPr="007E33E3">
        <w:rPr>
          <w:rFonts w:ascii="Verdana" w:hAnsi="Verdana"/>
          <w:sz w:val="22"/>
          <w:szCs w:val="22"/>
        </w:rPr>
        <w:t>icles</w:t>
      </w:r>
      <w:r w:rsidR="00A90127" w:rsidRPr="007E33E3">
        <w:rPr>
          <w:rFonts w:ascii="Verdana" w:hAnsi="Verdana"/>
          <w:sz w:val="22"/>
          <w:szCs w:val="22"/>
        </w:rPr>
        <w:t xml:space="preserve"> 7 and </w:t>
      </w:r>
      <w:r w:rsidR="00C57544" w:rsidRPr="007E33E3">
        <w:rPr>
          <w:rFonts w:ascii="Verdana" w:hAnsi="Verdana"/>
          <w:sz w:val="22"/>
          <w:szCs w:val="22"/>
        </w:rPr>
        <w:t>8</w:t>
      </w:r>
      <w:r w:rsidR="000A6D45" w:rsidRPr="007E33E3">
        <w:rPr>
          <w:rFonts w:ascii="Verdana" w:hAnsi="Verdana"/>
          <w:sz w:val="22"/>
          <w:szCs w:val="22"/>
        </w:rPr>
        <w:t xml:space="preserve"> of the EC Regulations.</w:t>
      </w:r>
    </w:p>
    <w:p w:rsidR="00A90127" w:rsidRPr="007E33E3" w:rsidRDefault="002E5CA7" w:rsidP="00E60AC2">
      <w:pPr>
        <w:widowControl w:val="0"/>
        <w:autoSpaceDE w:val="0"/>
        <w:autoSpaceDN w:val="0"/>
        <w:adjustRightInd w:val="0"/>
        <w:spacing w:after="120" w:line="276" w:lineRule="auto"/>
        <w:jc w:val="both"/>
        <w:rPr>
          <w:rFonts w:ascii="Verdana" w:eastAsia="Calibri" w:hAnsi="Verdana" w:cs="Arial"/>
          <w:sz w:val="22"/>
          <w:szCs w:val="22"/>
        </w:rPr>
      </w:pPr>
      <w:r w:rsidRPr="007E33E3">
        <w:rPr>
          <w:rFonts w:ascii="Verdana" w:eastAsia="Calibri" w:hAnsi="Verdana" w:cs="Verdana"/>
          <w:sz w:val="22"/>
          <w:szCs w:val="22"/>
        </w:rPr>
        <w:t>Under URBACT III, the beneficiary “city” refers to the public local authority representing:</w:t>
      </w:r>
    </w:p>
    <w:p w:rsidR="00A90127" w:rsidRPr="007E33E3" w:rsidRDefault="00A90127" w:rsidP="00D67ECF">
      <w:pPr>
        <w:pStyle w:val="afd"/>
        <w:widowControl w:val="0"/>
        <w:numPr>
          <w:ilvl w:val="0"/>
          <w:numId w:val="35"/>
        </w:numPr>
        <w:tabs>
          <w:tab w:val="left" w:pos="940"/>
          <w:tab w:val="left" w:pos="1440"/>
        </w:tabs>
        <w:autoSpaceDE w:val="0"/>
        <w:autoSpaceDN w:val="0"/>
        <w:adjustRightInd w:val="0"/>
        <w:spacing w:after="120"/>
        <w:ind w:left="714" w:hanging="357"/>
        <w:contextualSpacing w:val="0"/>
        <w:rPr>
          <w:rFonts w:ascii="Verdana" w:hAnsi="Verdana" w:cs="Verdana"/>
        </w:rPr>
      </w:pPr>
      <w:r w:rsidRPr="007E33E3">
        <w:rPr>
          <w:rFonts w:ascii="Verdana" w:hAnsi="Verdana" w:cs="Verdana"/>
        </w:rPr>
        <w:t>cities, municipalities, towns, parishes;</w:t>
      </w:r>
    </w:p>
    <w:p w:rsidR="00A90127" w:rsidRPr="007E33E3" w:rsidRDefault="00A90127" w:rsidP="00D67ECF">
      <w:pPr>
        <w:pStyle w:val="afd"/>
        <w:widowControl w:val="0"/>
        <w:numPr>
          <w:ilvl w:val="0"/>
          <w:numId w:val="35"/>
        </w:numPr>
        <w:tabs>
          <w:tab w:val="left" w:pos="940"/>
          <w:tab w:val="left" w:pos="1440"/>
        </w:tabs>
        <w:autoSpaceDE w:val="0"/>
        <w:autoSpaceDN w:val="0"/>
        <w:adjustRightInd w:val="0"/>
        <w:spacing w:after="120"/>
        <w:ind w:left="714" w:hanging="357"/>
        <w:contextualSpacing w:val="0"/>
        <w:rPr>
          <w:rFonts w:ascii="Verdana" w:hAnsi="Verdana" w:cs="Verdana"/>
        </w:rPr>
      </w:pPr>
      <w:r w:rsidRPr="007E33E3">
        <w:rPr>
          <w:rFonts w:ascii="Verdana" w:hAnsi="Verdana" w:cs="Verdana"/>
        </w:rPr>
        <w:t>Infra-municipal tiers of government such as city districts and boroughs in cases where they are represented by a politico-administrative institution having competences for policy-making and implementation in the policy area covered by the URBACT network concerned in which they are willing to get involved;</w:t>
      </w:r>
    </w:p>
    <w:p w:rsidR="00A90127" w:rsidRPr="007E33E3" w:rsidRDefault="00A90127" w:rsidP="00D67ECF">
      <w:pPr>
        <w:pStyle w:val="afd"/>
        <w:widowControl w:val="0"/>
        <w:numPr>
          <w:ilvl w:val="0"/>
          <w:numId w:val="35"/>
        </w:numPr>
        <w:tabs>
          <w:tab w:val="left" w:pos="940"/>
          <w:tab w:val="left" w:pos="1440"/>
        </w:tabs>
        <w:autoSpaceDE w:val="0"/>
        <w:autoSpaceDN w:val="0"/>
        <w:adjustRightInd w:val="0"/>
        <w:spacing w:after="120"/>
        <w:ind w:left="714" w:hanging="357"/>
        <w:contextualSpacing w:val="0"/>
        <w:rPr>
          <w:rFonts w:ascii="Verdana" w:hAnsi="Verdana" w:cs="Verdana"/>
        </w:rPr>
      </w:pPr>
      <w:r w:rsidRPr="007E33E3">
        <w:rPr>
          <w:rFonts w:ascii="Verdana" w:hAnsi="Verdana" w:cs="Verdana"/>
        </w:rPr>
        <w:t>Metropolitan authorities and organized agglomerations in cases where they are represented by a politico-administrative institution having delegated competences for policy-making and implementation in the policy area covered by the URBACT network concerned.</w:t>
      </w:r>
    </w:p>
    <w:p w:rsidR="00A90127" w:rsidRPr="007E33E3" w:rsidRDefault="002E5CA7" w:rsidP="00E60AC2">
      <w:pPr>
        <w:widowControl w:val="0"/>
        <w:autoSpaceDE w:val="0"/>
        <w:autoSpaceDN w:val="0"/>
        <w:adjustRightInd w:val="0"/>
        <w:spacing w:after="120" w:line="276" w:lineRule="auto"/>
        <w:jc w:val="both"/>
        <w:rPr>
          <w:rFonts w:ascii="Verdana" w:eastAsia="Calibri" w:hAnsi="Verdana" w:cs="Arial"/>
          <w:sz w:val="22"/>
          <w:szCs w:val="22"/>
        </w:rPr>
      </w:pPr>
      <w:r w:rsidRPr="007E33E3">
        <w:rPr>
          <w:rFonts w:ascii="Verdana" w:eastAsia="Calibri" w:hAnsi="Verdana" w:cs="Verdana"/>
          <w:sz w:val="22"/>
          <w:szCs w:val="22"/>
        </w:rPr>
        <w:t xml:space="preserve">In addition, a number of non-city partners shall also be eligible </w:t>
      </w:r>
      <w:r w:rsidRPr="007E33E3">
        <w:rPr>
          <w:rFonts w:ascii="Verdana" w:eastAsia="Calibri" w:hAnsi="Verdana" w:cs="Verdana"/>
          <w:sz w:val="22"/>
          <w:szCs w:val="22"/>
          <w:u w:val="single"/>
        </w:rPr>
        <w:t>for</w:t>
      </w:r>
      <w:r w:rsidRPr="007E33E3">
        <w:rPr>
          <w:rFonts w:ascii="Verdana" w:eastAsia="Calibri" w:hAnsi="Verdana" w:cs="Verdana"/>
          <w:sz w:val="22"/>
          <w:szCs w:val="22"/>
        </w:rPr>
        <w:t xml:space="preserve"> actions implemented under Objective 3. The list of other eligible beneficiaries is defined as follows:</w:t>
      </w:r>
    </w:p>
    <w:p w:rsidR="00A90127" w:rsidRPr="007E33E3" w:rsidRDefault="00A90127" w:rsidP="00D67ECF">
      <w:pPr>
        <w:pStyle w:val="afd"/>
        <w:widowControl w:val="0"/>
        <w:numPr>
          <w:ilvl w:val="0"/>
          <w:numId w:val="36"/>
        </w:numPr>
        <w:tabs>
          <w:tab w:val="left" w:pos="940"/>
          <w:tab w:val="left" w:pos="1440"/>
        </w:tabs>
        <w:autoSpaceDE w:val="0"/>
        <w:autoSpaceDN w:val="0"/>
        <w:adjustRightInd w:val="0"/>
        <w:spacing w:after="120"/>
        <w:ind w:left="714" w:hanging="357"/>
        <w:contextualSpacing w:val="0"/>
        <w:rPr>
          <w:rFonts w:ascii="Verdana" w:hAnsi="Verdana" w:cs="Arial"/>
        </w:rPr>
      </w:pPr>
      <w:r w:rsidRPr="007E33E3">
        <w:rPr>
          <w:rFonts w:ascii="Verdana" w:hAnsi="Verdana" w:cs="Verdana"/>
        </w:rPr>
        <w:t xml:space="preserve">Local agencies defined as public or semi-public organisations set up by a city, </w:t>
      </w:r>
      <w:r w:rsidRPr="007E33E3">
        <w:rPr>
          <w:rFonts w:ascii="Verdana" w:hAnsi="Verdana" w:cs="Arial"/>
        </w:rPr>
        <w:t>partially or fully owned by the city authority, responsible for the design and implementation of specific policies (economic development, energy supply, health services, transport, etc.)</w:t>
      </w:r>
    </w:p>
    <w:p w:rsidR="00A90127" w:rsidRPr="007E33E3" w:rsidRDefault="00A90127" w:rsidP="00D67ECF">
      <w:pPr>
        <w:pStyle w:val="afd"/>
        <w:widowControl w:val="0"/>
        <w:numPr>
          <w:ilvl w:val="0"/>
          <w:numId w:val="36"/>
        </w:numPr>
        <w:tabs>
          <w:tab w:val="left" w:pos="940"/>
          <w:tab w:val="left" w:pos="1440"/>
        </w:tabs>
        <w:autoSpaceDE w:val="0"/>
        <w:autoSpaceDN w:val="0"/>
        <w:adjustRightInd w:val="0"/>
        <w:spacing w:after="120"/>
        <w:ind w:left="714" w:hanging="357"/>
        <w:contextualSpacing w:val="0"/>
        <w:rPr>
          <w:rFonts w:ascii="Verdana" w:hAnsi="Verdana" w:cs="Arial"/>
        </w:rPr>
      </w:pPr>
      <w:r w:rsidRPr="007E33E3">
        <w:rPr>
          <w:rFonts w:ascii="Verdana" w:hAnsi="Verdana" w:cs="Verdana"/>
        </w:rPr>
        <w:t>Provincial, regional and national authorities, as far as urban issues are concerned;</w:t>
      </w:r>
    </w:p>
    <w:p w:rsidR="00A90127" w:rsidRPr="007E33E3" w:rsidRDefault="00A90127" w:rsidP="00D67ECF">
      <w:pPr>
        <w:pStyle w:val="afd"/>
        <w:widowControl w:val="0"/>
        <w:numPr>
          <w:ilvl w:val="0"/>
          <w:numId w:val="36"/>
        </w:numPr>
        <w:tabs>
          <w:tab w:val="left" w:pos="940"/>
          <w:tab w:val="left" w:pos="1440"/>
        </w:tabs>
        <w:autoSpaceDE w:val="0"/>
        <w:autoSpaceDN w:val="0"/>
        <w:adjustRightInd w:val="0"/>
        <w:spacing w:after="120"/>
        <w:ind w:left="714" w:hanging="357"/>
        <w:contextualSpacing w:val="0"/>
        <w:rPr>
          <w:rFonts w:ascii="Verdana" w:hAnsi="Verdana" w:cs="Arial"/>
        </w:rPr>
      </w:pPr>
      <w:r w:rsidRPr="007E33E3">
        <w:rPr>
          <w:rFonts w:ascii="Verdana" w:hAnsi="Verdana" w:cs="Verdana"/>
        </w:rPr>
        <w:t>Universities and research centres, as far as urban issues are concerned</w:t>
      </w:r>
    </w:p>
    <w:p w:rsidR="00A90127" w:rsidRPr="007E33E3" w:rsidRDefault="00A90127" w:rsidP="00E60AC2">
      <w:pPr>
        <w:spacing w:after="120" w:line="276" w:lineRule="auto"/>
        <w:rPr>
          <w:rFonts w:ascii="Verdana" w:eastAsia="Calibri" w:hAnsi="Verdana" w:cs="Verdana"/>
          <w:sz w:val="22"/>
          <w:szCs w:val="22"/>
        </w:rPr>
      </w:pPr>
    </w:p>
    <w:p w:rsidR="00A90127" w:rsidRPr="007E33E3" w:rsidRDefault="002E5CA7" w:rsidP="00E60AC2">
      <w:pPr>
        <w:spacing w:after="120" w:line="276" w:lineRule="auto"/>
        <w:jc w:val="both"/>
        <w:rPr>
          <w:rFonts w:ascii="Verdana" w:eastAsia="Calibri" w:hAnsi="Verdana" w:cs="Verdana"/>
          <w:sz w:val="22"/>
          <w:szCs w:val="22"/>
        </w:rPr>
      </w:pPr>
      <w:r w:rsidRPr="007E33E3">
        <w:rPr>
          <w:rFonts w:ascii="Verdana" w:eastAsia="Calibri" w:hAnsi="Verdana" w:cs="Verdana"/>
          <w:sz w:val="22"/>
          <w:szCs w:val="22"/>
        </w:rPr>
        <w:t>In the delivery of Objective 3, priority shall be given to cities. Subsequently, the number of non-city partners in shall be limited. The maximum number of non-city partners shall be defined in the calls for proposals for the creation of implementation networks.</w:t>
      </w:r>
    </w:p>
    <w:p w:rsidR="00A90127" w:rsidRPr="007E33E3" w:rsidRDefault="00A90127" w:rsidP="00E60AC2">
      <w:pPr>
        <w:spacing w:after="120" w:line="276" w:lineRule="auto"/>
        <w:rPr>
          <w:rFonts w:ascii="Verdana" w:hAnsi="Verdana"/>
          <w:sz w:val="22"/>
          <w:szCs w:val="22"/>
        </w:rPr>
      </w:pPr>
      <w:r w:rsidRPr="007E33E3">
        <w:rPr>
          <w:rFonts w:ascii="Verdana" w:hAnsi="Verdana"/>
          <w:sz w:val="22"/>
          <w:szCs w:val="22"/>
        </w:rPr>
        <w:t>Only public authorities and public equivalent bodies are eligible to the programme</w:t>
      </w:r>
      <w:r w:rsidR="00A22F16" w:rsidRPr="007E33E3">
        <w:rPr>
          <w:rStyle w:val="a5"/>
          <w:rFonts w:ascii="Verdana" w:eastAsia="Calibri" w:hAnsi="Verdana"/>
          <w:sz w:val="22"/>
          <w:szCs w:val="22"/>
        </w:rPr>
        <w:footnoteReference w:id="36"/>
      </w:r>
      <w:r w:rsidRPr="007E33E3">
        <w:rPr>
          <w:rFonts w:ascii="Verdana" w:hAnsi="Verdana"/>
          <w:sz w:val="22"/>
          <w:szCs w:val="22"/>
        </w:rPr>
        <w:t xml:space="preserve">. </w:t>
      </w:r>
    </w:p>
    <w:p w:rsidR="009044AB" w:rsidRPr="007E33E3" w:rsidRDefault="009044AB" w:rsidP="00E60AC2">
      <w:pPr>
        <w:spacing w:after="120" w:line="276" w:lineRule="auto"/>
        <w:ind w:right="566"/>
        <w:jc w:val="both"/>
        <w:rPr>
          <w:rFonts w:ascii="Verdana" w:hAnsi="Verdana"/>
          <w:sz w:val="22"/>
          <w:szCs w:val="22"/>
        </w:rPr>
      </w:pPr>
    </w:p>
    <w:p w:rsidR="00E21452" w:rsidRPr="007E33E3" w:rsidRDefault="00E21452" w:rsidP="00E60AC2">
      <w:pPr>
        <w:spacing w:after="120" w:line="276" w:lineRule="auto"/>
        <w:ind w:right="566"/>
        <w:jc w:val="both"/>
        <w:rPr>
          <w:rFonts w:ascii="Verdana" w:hAnsi="Verdana"/>
          <w:b/>
          <w:sz w:val="22"/>
          <w:szCs w:val="22"/>
        </w:rPr>
      </w:pPr>
      <w:r w:rsidRPr="007E33E3">
        <w:rPr>
          <w:rFonts w:ascii="Verdana" w:hAnsi="Verdana"/>
          <w:b/>
          <w:sz w:val="22"/>
          <w:szCs w:val="22"/>
        </w:rPr>
        <w:t xml:space="preserve">d/ Capitalisation and </w:t>
      </w:r>
      <w:r w:rsidR="003910DB" w:rsidRPr="007E33E3">
        <w:rPr>
          <w:rFonts w:ascii="Verdana" w:hAnsi="Verdana"/>
          <w:b/>
          <w:sz w:val="22"/>
          <w:szCs w:val="22"/>
        </w:rPr>
        <w:t xml:space="preserve">Dissemination </w:t>
      </w:r>
      <w:r w:rsidRPr="007E33E3">
        <w:rPr>
          <w:rFonts w:ascii="Verdana" w:hAnsi="Verdana"/>
          <w:b/>
          <w:sz w:val="22"/>
          <w:szCs w:val="22"/>
        </w:rPr>
        <w:t>(specific objective 4)</w:t>
      </w:r>
    </w:p>
    <w:p w:rsidR="00E21452" w:rsidRPr="007E33E3" w:rsidRDefault="00E21452" w:rsidP="00E60AC2">
      <w:pPr>
        <w:spacing w:after="120" w:line="276" w:lineRule="auto"/>
        <w:ind w:right="566"/>
        <w:jc w:val="both"/>
        <w:rPr>
          <w:rFonts w:ascii="Verdana" w:hAnsi="Verdana"/>
          <w:b/>
          <w:i/>
          <w:sz w:val="22"/>
          <w:szCs w:val="22"/>
          <w:u w:val="single"/>
        </w:rPr>
      </w:pPr>
    </w:p>
    <w:p w:rsidR="003910DB" w:rsidRPr="003B7BFA" w:rsidRDefault="00E21452" w:rsidP="00E60AC2">
      <w:pPr>
        <w:spacing w:after="120" w:line="276" w:lineRule="auto"/>
        <w:ind w:right="566"/>
        <w:jc w:val="both"/>
        <w:rPr>
          <w:rFonts w:ascii="Verdana" w:hAnsi="Verdana"/>
          <w:b/>
          <w:sz w:val="22"/>
          <w:szCs w:val="22"/>
          <w:u w:val="single"/>
        </w:rPr>
      </w:pPr>
      <w:r w:rsidRPr="003B7BFA">
        <w:rPr>
          <w:rFonts w:ascii="Verdana" w:hAnsi="Verdana"/>
          <w:b/>
          <w:i/>
          <w:sz w:val="22"/>
          <w:szCs w:val="22"/>
          <w:u w:val="single"/>
        </w:rPr>
        <w:t>Contribution of activities to specific objective 4</w:t>
      </w:r>
    </w:p>
    <w:p w:rsidR="003910DB" w:rsidRPr="007E33E3" w:rsidRDefault="003910DB" w:rsidP="00E60AC2">
      <w:pPr>
        <w:spacing w:after="120" w:line="276" w:lineRule="auto"/>
        <w:ind w:right="566"/>
        <w:jc w:val="both"/>
        <w:rPr>
          <w:rFonts w:ascii="Verdana" w:hAnsi="Verdana"/>
          <w:sz w:val="22"/>
          <w:szCs w:val="22"/>
        </w:rPr>
      </w:pPr>
    </w:p>
    <w:p w:rsidR="00E21452" w:rsidRPr="007E33E3" w:rsidRDefault="003910DB" w:rsidP="00E60AC2">
      <w:pPr>
        <w:spacing w:after="120" w:line="276" w:lineRule="auto"/>
        <w:ind w:right="566"/>
        <w:jc w:val="both"/>
        <w:rPr>
          <w:rFonts w:ascii="Verdana" w:hAnsi="Verdana"/>
          <w:sz w:val="22"/>
          <w:szCs w:val="22"/>
        </w:rPr>
      </w:pPr>
      <w:r w:rsidRPr="007E33E3">
        <w:rPr>
          <w:rFonts w:ascii="Verdana" w:hAnsi="Verdana"/>
          <w:sz w:val="22"/>
          <w:szCs w:val="22"/>
        </w:rPr>
        <w:t>T</w:t>
      </w:r>
      <w:r w:rsidR="00E21452" w:rsidRPr="007E33E3">
        <w:rPr>
          <w:rFonts w:ascii="Verdana" w:hAnsi="Verdana"/>
          <w:sz w:val="22"/>
          <w:szCs w:val="22"/>
        </w:rPr>
        <w:t>he programme will develop actions to consolidate and share knowledge on sustainable urban development (good practices, policy recommendations, etc.) so that it is widely used by relevant players in the field. More especially, the capitalisation and mainstreaming actions will also aim to reach players beyond the URBACT beneficiaries: cities not involved in URBACT networks, as well as the different levels of government involved in urban development (regional, national, European).</w:t>
      </w:r>
    </w:p>
    <w:p w:rsidR="00E21452" w:rsidRPr="007E33E3" w:rsidRDefault="00E21452" w:rsidP="00E60AC2">
      <w:pPr>
        <w:spacing w:after="120" w:line="276" w:lineRule="auto"/>
        <w:ind w:right="566"/>
        <w:jc w:val="both"/>
        <w:rPr>
          <w:rFonts w:ascii="Verdana" w:hAnsi="Verdana"/>
          <w:sz w:val="22"/>
          <w:szCs w:val="22"/>
        </w:rPr>
      </w:pPr>
    </w:p>
    <w:p w:rsidR="003910DB" w:rsidRPr="007E33E3" w:rsidRDefault="003910DB" w:rsidP="00E60AC2">
      <w:pPr>
        <w:spacing w:after="120" w:line="276" w:lineRule="auto"/>
        <w:ind w:right="566"/>
        <w:jc w:val="both"/>
        <w:rPr>
          <w:rFonts w:ascii="Verdana" w:hAnsi="Verdana"/>
          <w:sz w:val="22"/>
          <w:szCs w:val="22"/>
        </w:rPr>
      </w:pPr>
      <w:r w:rsidRPr="007E33E3">
        <w:rPr>
          <w:rFonts w:ascii="Verdana" w:hAnsi="Verdana"/>
          <w:sz w:val="22"/>
          <w:szCs w:val="22"/>
        </w:rPr>
        <w:t>Actions</w:t>
      </w:r>
    </w:p>
    <w:p w:rsidR="00E21452" w:rsidRPr="007E33E3" w:rsidRDefault="003910DB" w:rsidP="00E60AC2">
      <w:pPr>
        <w:spacing w:after="120" w:line="276" w:lineRule="auto"/>
        <w:ind w:right="566"/>
        <w:jc w:val="both"/>
        <w:rPr>
          <w:rFonts w:ascii="Verdana" w:hAnsi="Verdana"/>
          <w:sz w:val="22"/>
          <w:szCs w:val="22"/>
          <w:u w:val="single"/>
        </w:rPr>
      </w:pPr>
      <w:r w:rsidRPr="007E33E3">
        <w:rPr>
          <w:rFonts w:ascii="Verdana" w:hAnsi="Verdana"/>
          <w:sz w:val="22"/>
          <w:szCs w:val="22"/>
        </w:rPr>
        <w:t>The a</w:t>
      </w:r>
      <w:r w:rsidR="00E21452" w:rsidRPr="007E33E3">
        <w:rPr>
          <w:rFonts w:ascii="Verdana" w:hAnsi="Verdana"/>
          <w:sz w:val="22"/>
          <w:szCs w:val="22"/>
        </w:rPr>
        <w:t xml:space="preserve">ctions </w:t>
      </w:r>
      <w:r w:rsidRPr="007E33E3">
        <w:rPr>
          <w:rFonts w:ascii="Verdana" w:hAnsi="Verdana"/>
          <w:sz w:val="22"/>
          <w:szCs w:val="22"/>
        </w:rPr>
        <w:t xml:space="preserve">that </w:t>
      </w:r>
      <w:r w:rsidR="00E21452" w:rsidRPr="007E33E3">
        <w:rPr>
          <w:rFonts w:ascii="Verdana" w:hAnsi="Verdana"/>
          <w:sz w:val="22"/>
          <w:szCs w:val="22"/>
        </w:rPr>
        <w:t xml:space="preserve">can be supported under capitalisation and </w:t>
      </w:r>
      <w:r w:rsidRPr="007E33E3">
        <w:rPr>
          <w:rFonts w:ascii="Verdana" w:hAnsi="Verdana"/>
          <w:sz w:val="22"/>
          <w:szCs w:val="22"/>
        </w:rPr>
        <w:t xml:space="preserve">dissemination are the following </w:t>
      </w:r>
      <w:r w:rsidR="00E21452" w:rsidRPr="007E33E3">
        <w:rPr>
          <w:rFonts w:ascii="Verdana" w:hAnsi="Verdana"/>
          <w:sz w:val="22"/>
          <w:szCs w:val="22"/>
        </w:rPr>
        <w:t>(indicative list):</w:t>
      </w:r>
    </w:p>
    <w:p w:rsidR="00E21452" w:rsidRPr="007E33E3" w:rsidRDefault="00E21452" w:rsidP="00D67ECF">
      <w:pPr>
        <w:numPr>
          <w:ilvl w:val="0"/>
          <w:numId w:val="37"/>
        </w:numPr>
        <w:spacing w:after="120" w:line="276" w:lineRule="auto"/>
        <w:ind w:left="714" w:right="567" w:hanging="357"/>
        <w:jc w:val="both"/>
        <w:rPr>
          <w:rFonts w:ascii="Verdana" w:hAnsi="Verdana"/>
          <w:sz w:val="22"/>
          <w:szCs w:val="22"/>
        </w:rPr>
      </w:pPr>
      <w:r w:rsidRPr="007E33E3">
        <w:rPr>
          <w:rFonts w:ascii="Verdana" w:hAnsi="Verdana"/>
          <w:sz w:val="22"/>
          <w:szCs w:val="22"/>
        </w:rPr>
        <w:t>Expertise to build and manage knowledge on sustainable urban development (clustering activity, studies, etc.)</w:t>
      </w:r>
    </w:p>
    <w:p w:rsidR="00E21452" w:rsidRPr="007E33E3" w:rsidRDefault="00E21452" w:rsidP="00D67ECF">
      <w:pPr>
        <w:numPr>
          <w:ilvl w:val="0"/>
          <w:numId w:val="37"/>
        </w:numPr>
        <w:spacing w:after="120" w:line="276" w:lineRule="auto"/>
        <w:ind w:left="714" w:right="567" w:hanging="357"/>
        <w:jc w:val="both"/>
        <w:rPr>
          <w:rFonts w:ascii="Verdana" w:hAnsi="Verdana"/>
          <w:sz w:val="22"/>
          <w:szCs w:val="22"/>
        </w:rPr>
      </w:pPr>
      <w:r w:rsidRPr="007E33E3">
        <w:rPr>
          <w:rFonts w:ascii="Verdana" w:hAnsi="Verdana"/>
          <w:sz w:val="22"/>
          <w:szCs w:val="22"/>
        </w:rPr>
        <w:t>Website operating as a knowledge platform providing easy access to knowledge and know-how around thematic priorities, social media activities</w:t>
      </w:r>
    </w:p>
    <w:p w:rsidR="00E21452" w:rsidRPr="007E33E3" w:rsidRDefault="00E21452" w:rsidP="00D67ECF">
      <w:pPr>
        <w:numPr>
          <w:ilvl w:val="0"/>
          <w:numId w:val="37"/>
        </w:numPr>
        <w:spacing w:after="120" w:line="276" w:lineRule="auto"/>
        <w:ind w:left="714" w:right="567" w:hanging="357"/>
        <w:jc w:val="both"/>
        <w:rPr>
          <w:rFonts w:ascii="Verdana" w:hAnsi="Verdana"/>
          <w:sz w:val="22"/>
          <w:szCs w:val="22"/>
        </w:rPr>
      </w:pPr>
      <w:r w:rsidRPr="007E33E3">
        <w:rPr>
          <w:rFonts w:ascii="Verdana" w:hAnsi="Verdana"/>
          <w:sz w:val="22"/>
          <w:szCs w:val="22"/>
        </w:rPr>
        <w:t>Thematic publications such as newsletters, policy briefs, case studies, etc.</w:t>
      </w:r>
    </w:p>
    <w:p w:rsidR="00E21452" w:rsidRPr="007E33E3" w:rsidRDefault="00E21452" w:rsidP="00D67ECF">
      <w:pPr>
        <w:numPr>
          <w:ilvl w:val="0"/>
          <w:numId w:val="37"/>
        </w:numPr>
        <w:spacing w:after="120" w:line="276" w:lineRule="auto"/>
        <w:ind w:left="714" w:right="567" w:hanging="357"/>
        <w:jc w:val="both"/>
        <w:rPr>
          <w:rFonts w:ascii="Verdana" w:hAnsi="Verdana"/>
          <w:sz w:val="22"/>
          <w:szCs w:val="22"/>
        </w:rPr>
      </w:pPr>
      <w:r w:rsidRPr="007E33E3">
        <w:rPr>
          <w:rFonts w:ascii="Verdana" w:hAnsi="Verdana"/>
          <w:sz w:val="22"/>
          <w:szCs w:val="22"/>
        </w:rPr>
        <w:t>Conferences, thematic events, seminars, workshops for city practitioners.</w:t>
      </w:r>
    </w:p>
    <w:p w:rsidR="00E21452" w:rsidRPr="007E33E3" w:rsidRDefault="00C1659C" w:rsidP="00D67ECF">
      <w:pPr>
        <w:numPr>
          <w:ilvl w:val="0"/>
          <w:numId w:val="37"/>
        </w:numPr>
        <w:spacing w:after="120" w:line="276" w:lineRule="auto"/>
        <w:ind w:left="714" w:right="567" w:hanging="357"/>
        <w:jc w:val="both"/>
        <w:rPr>
          <w:rFonts w:ascii="Verdana" w:eastAsia="MS ??" w:hAnsi="Verdana"/>
          <w:sz w:val="22"/>
          <w:szCs w:val="22"/>
          <w:u w:val="single"/>
        </w:rPr>
      </w:pPr>
      <w:r w:rsidRPr="007E33E3">
        <w:rPr>
          <w:rFonts w:ascii="Verdana" w:hAnsi="Verdana"/>
          <w:sz w:val="22"/>
          <w:szCs w:val="22"/>
        </w:rPr>
        <w:t xml:space="preserve">URBACT </w:t>
      </w:r>
      <w:r w:rsidR="00E21452" w:rsidRPr="007E33E3">
        <w:rPr>
          <w:rFonts w:ascii="Verdana" w:hAnsi="Verdana"/>
          <w:sz w:val="22"/>
          <w:szCs w:val="22"/>
        </w:rPr>
        <w:t xml:space="preserve">National Points in charge of communicating on URBACT activities and </w:t>
      </w:r>
      <w:r w:rsidRPr="007E33E3">
        <w:rPr>
          <w:rFonts w:ascii="Verdana" w:hAnsi="Verdana"/>
          <w:sz w:val="22"/>
          <w:szCs w:val="22"/>
        </w:rPr>
        <w:t xml:space="preserve">disseminating URBACT </w:t>
      </w:r>
      <w:r w:rsidR="00E21452" w:rsidRPr="007E33E3">
        <w:rPr>
          <w:rFonts w:ascii="Verdana" w:hAnsi="Verdana"/>
          <w:sz w:val="22"/>
          <w:szCs w:val="22"/>
        </w:rPr>
        <w:t xml:space="preserve">results at national level in local language and operating as national platforms for dialogue, exchange and learning on sustainable urban development, involving the different levels of governance concerned (national, regional, local). This tool in URBACT III should be an enhanced version of the National Dissemination Points operating in URBACT II providing a wider range of services at national level, including translation and dissemination of results, organization of national seminars, etc. </w:t>
      </w:r>
    </w:p>
    <w:p w:rsidR="00E21452" w:rsidRPr="007E33E3" w:rsidRDefault="00E21452" w:rsidP="00D67ECF">
      <w:pPr>
        <w:numPr>
          <w:ilvl w:val="0"/>
          <w:numId w:val="37"/>
        </w:numPr>
        <w:spacing w:after="120" w:line="276" w:lineRule="auto"/>
        <w:ind w:left="714" w:right="567" w:hanging="357"/>
        <w:jc w:val="both"/>
        <w:rPr>
          <w:rFonts w:ascii="Verdana" w:hAnsi="Verdana"/>
          <w:sz w:val="22"/>
          <w:szCs w:val="22"/>
        </w:rPr>
      </w:pPr>
      <w:r w:rsidRPr="007E33E3">
        <w:rPr>
          <w:rFonts w:ascii="Verdana" w:hAnsi="Verdana"/>
          <w:sz w:val="22"/>
          <w:szCs w:val="22"/>
        </w:rPr>
        <w:t xml:space="preserve">Cooperation with other organizations (programmes, networks, etc.) operating in the area of sustainable urban development </w:t>
      </w:r>
      <w:r w:rsidR="003910DB" w:rsidRPr="007E33E3">
        <w:rPr>
          <w:rFonts w:ascii="Verdana" w:hAnsi="Verdana"/>
          <w:sz w:val="22"/>
          <w:szCs w:val="22"/>
        </w:rPr>
        <w:t xml:space="preserve">as well as </w:t>
      </w:r>
      <w:r w:rsidRPr="007E33E3">
        <w:rPr>
          <w:rFonts w:ascii="Verdana" w:hAnsi="Verdana"/>
          <w:sz w:val="22"/>
          <w:szCs w:val="22"/>
        </w:rPr>
        <w:t xml:space="preserve">on </w:t>
      </w:r>
      <w:r w:rsidRPr="007E33E3">
        <w:rPr>
          <w:rFonts w:ascii="Verdana" w:hAnsi="Verdana" w:cs="Arial"/>
          <w:sz w:val="22"/>
          <w:szCs w:val="22"/>
        </w:rPr>
        <w:t>urban-rural link</w:t>
      </w:r>
      <w:r w:rsidR="003910DB" w:rsidRPr="007E33E3">
        <w:rPr>
          <w:rFonts w:ascii="Verdana" w:hAnsi="Verdana" w:cs="Arial"/>
          <w:sz w:val="22"/>
          <w:szCs w:val="22"/>
        </w:rPr>
        <w:t>ages.</w:t>
      </w:r>
    </w:p>
    <w:p w:rsidR="00E21452" w:rsidRPr="007E33E3" w:rsidRDefault="004B01BB" w:rsidP="00D67ECF">
      <w:pPr>
        <w:numPr>
          <w:ilvl w:val="0"/>
          <w:numId w:val="37"/>
        </w:numPr>
        <w:spacing w:after="120" w:line="276" w:lineRule="auto"/>
        <w:ind w:left="714" w:right="567" w:hanging="357"/>
        <w:jc w:val="both"/>
        <w:rPr>
          <w:rFonts w:ascii="Verdana" w:hAnsi="Verdana"/>
          <w:sz w:val="22"/>
          <w:szCs w:val="22"/>
        </w:rPr>
      </w:pPr>
      <w:r>
        <w:rPr>
          <w:rFonts w:ascii="Verdana" w:hAnsi="Verdana"/>
          <w:sz w:val="22"/>
          <w:szCs w:val="22"/>
        </w:rPr>
        <w:t xml:space="preserve">Managing and fostering the use of the </w:t>
      </w:r>
      <w:r w:rsidR="00E21452" w:rsidRPr="007E33E3">
        <w:rPr>
          <w:rFonts w:ascii="Verdana" w:hAnsi="Verdana"/>
          <w:sz w:val="22"/>
          <w:szCs w:val="22"/>
        </w:rPr>
        <w:t>Reference Framework for Sustainable Cities</w:t>
      </w:r>
    </w:p>
    <w:p w:rsidR="00E21452" w:rsidRPr="007E33E3" w:rsidRDefault="00E21452" w:rsidP="00E60AC2">
      <w:pPr>
        <w:spacing w:after="120" w:line="276" w:lineRule="auto"/>
        <w:ind w:right="566"/>
        <w:jc w:val="both"/>
        <w:rPr>
          <w:rFonts w:ascii="Verdana" w:hAnsi="Verdana"/>
          <w:sz w:val="22"/>
          <w:szCs w:val="22"/>
        </w:rPr>
      </w:pPr>
    </w:p>
    <w:p w:rsidR="00E21452" w:rsidRPr="007E33E3" w:rsidRDefault="00185FF6" w:rsidP="00E60AC2">
      <w:pPr>
        <w:spacing w:after="120" w:line="276" w:lineRule="auto"/>
        <w:ind w:right="566"/>
        <w:jc w:val="both"/>
        <w:rPr>
          <w:rFonts w:ascii="Verdana" w:hAnsi="Verdana"/>
          <w:i/>
          <w:sz w:val="22"/>
          <w:szCs w:val="22"/>
          <w:u w:val="single"/>
        </w:rPr>
      </w:pPr>
      <w:r w:rsidRPr="007E33E3">
        <w:rPr>
          <w:rFonts w:ascii="Verdana" w:hAnsi="Verdana"/>
          <w:i/>
          <w:sz w:val="22"/>
          <w:szCs w:val="22"/>
          <w:u w:val="single"/>
        </w:rPr>
        <w:t>Main target groups and types of beneficiaries</w:t>
      </w:r>
    </w:p>
    <w:p w:rsidR="00D7402F" w:rsidRPr="007E33E3" w:rsidRDefault="00D7402F" w:rsidP="00E60AC2">
      <w:pPr>
        <w:spacing w:after="120" w:line="276" w:lineRule="auto"/>
        <w:ind w:right="566"/>
        <w:jc w:val="both"/>
        <w:rPr>
          <w:rFonts w:ascii="Verdana" w:hAnsi="Verdana"/>
          <w:sz w:val="22"/>
          <w:szCs w:val="22"/>
          <w:highlight w:val="yellow"/>
        </w:rPr>
      </w:pPr>
    </w:p>
    <w:p w:rsidR="00C44242" w:rsidRPr="007E33E3" w:rsidRDefault="002E5CA7" w:rsidP="00E60AC2">
      <w:pPr>
        <w:widowControl w:val="0"/>
        <w:autoSpaceDE w:val="0"/>
        <w:autoSpaceDN w:val="0"/>
        <w:adjustRightInd w:val="0"/>
        <w:spacing w:after="120" w:line="276" w:lineRule="auto"/>
        <w:jc w:val="both"/>
        <w:rPr>
          <w:rFonts w:ascii="Verdana" w:eastAsia="Calibri" w:hAnsi="Verdana" w:cs="Verdana"/>
          <w:sz w:val="22"/>
          <w:szCs w:val="22"/>
        </w:rPr>
      </w:pPr>
      <w:r w:rsidRPr="007E33E3">
        <w:rPr>
          <w:rFonts w:ascii="Verdana" w:eastAsia="Calibri" w:hAnsi="Verdana" w:cs="Verdana"/>
          <w:sz w:val="22"/>
          <w:szCs w:val="22"/>
        </w:rPr>
        <w:t xml:space="preserve">The main beneficiaries of actions implemented under Objective 4 </w:t>
      </w:r>
      <w:r w:rsidR="00155DD3" w:rsidRPr="007E33E3">
        <w:rPr>
          <w:rFonts w:ascii="Verdana" w:eastAsia="Calibri" w:hAnsi="Verdana" w:cs="Verdana"/>
          <w:sz w:val="22"/>
          <w:szCs w:val="22"/>
        </w:rPr>
        <w:t>are</w:t>
      </w:r>
      <w:r w:rsidRPr="007E33E3">
        <w:rPr>
          <w:rFonts w:ascii="Verdana" w:eastAsia="Calibri" w:hAnsi="Verdana" w:cs="Verdana"/>
          <w:sz w:val="22"/>
          <w:szCs w:val="22"/>
        </w:rPr>
        <w:t xml:space="preserve"> urban practitioners, policy-makers and decision-makers in cities from EU 28 Member States, Norway and Switzerland. Actions </w:t>
      </w:r>
      <w:r w:rsidR="00155DD3" w:rsidRPr="007E33E3">
        <w:rPr>
          <w:rFonts w:ascii="Verdana" w:eastAsia="Calibri" w:hAnsi="Verdana" w:cs="Verdana"/>
          <w:sz w:val="22"/>
          <w:szCs w:val="22"/>
        </w:rPr>
        <w:t>will</w:t>
      </w:r>
      <w:r w:rsidRPr="007E33E3">
        <w:rPr>
          <w:rFonts w:ascii="Verdana" w:eastAsia="Calibri" w:hAnsi="Verdana" w:cs="Verdana"/>
          <w:sz w:val="22"/>
          <w:szCs w:val="22"/>
        </w:rPr>
        <w:t xml:space="preserve"> target players involved in urban policies at all levels: EU, national, regional and local (e.g. national ministries; Managing authorities of Operational Programmes; European, national or regional networks/ associations of local authorities; relevant European </w:t>
      </w:r>
      <w:r w:rsidR="001D6B10" w:rsidRPr="007E33E3">
        <w:rPr>
          <w:rFonts w:ascii="Verdana" w:eastAsia="Calibri" w:hAnsi="Verdana" w:cs="Verdana"/>
          <w:sz w:val="22"/>
          <w:szCs w:val="22"/>
        </w:rPr>
        <w:t>P</w:t>
      </w:r>
      <w:r w:rsidRPr="007E33E3">
        <w:rPr>
          <w:rFonts w:ascii="Verdana" w:eastAsia="Calibri" w:hAnsi="Verdana" w:cs="Verdana"/>
          <w:sz w:val="22"/>
          <w:szCs w:val="22"/>
        </w:rPr>
        <w:t xml:space="preserve">rogrammes promoting sustainable urban development; </w:t>
      </w:r>
      <w:r w:rsidR="00C57544" w:rsidRPr="007E33E3">
        <w:rPr>
          <w:rFonts w:ascii="Verdana" w:eastAsia="Calibri" w:hAnsi="Verdana" w:cs="Verdana"/>
          <w:sz w:val="22"/>
          <w:szCs w:val="22"/>
        </w:rPr>
        <w:t xml:space="preserve">urban authorities participating in </w:t>
      </w:r>
      <w:r w:rsidRPr="007E33E3">
        <w:rPr>
          <w:rFonts w:ascii="Verdana" w:eastAsia="Calibri" w:hAnsi="Verdana" w:cs="Verdana"/>
          <w:sz w:val="22"/>
          <w:szCs w:val="22"/>
        </w:rPr>
        <w:t>the Urban Development Network, etc.).</w:t>
      </w:r>
    </w:p>
    <w:p w:rsidR="00E21452" w:rsidRPr="004F5F2B" w:rsidRDefault="008F49F8" w:rsidP="008F49F8">
      <w:pPr>
        <w:ind w:right="566"/>
        <w:jc w:val="both"/>
        <w:rPr>
          <w:rFonts w:ascii="Verdana" w:hAnsi="Verdana"/>
          <w:b/>
        </w:rPr>
      </w:pPr>
      <w:r w:rsidRPr="004F5F2B">
        <w:rPr>
          <w:rFonts w:ascii="Verdana" w:hAnsi="Verdana"/>
          <w:b/>
        </w:rPr>
        <w:t>2. A.</w:t>
      </w:r>
      <w:r w:rsidR="003B3E3B" w:rsidRPr="004F5F2B">
        <w:rPr>
          <w:rFonts w:ascii="Verdana" w:hAnsi="Verdana"/>
          <w:b/>
        </w:rPr>
        <w:t>3</w:t>
      </w:r>
      <w:r w:rsidRPr="004F5F2B">
        <w:rPr>
          <w:rFonts w:ascii="Verdana" w:hAnsi="Verdana"/>
          <w:b/>
        </w:rPr>
        <w:t>.2</w:t>
      </w:r>
      <w:r w:rsidR="00DC73D9" w:rsidRPr="004F5F2B">
        <w:rPr>
          <w:rFonts w:ascii="Verdana" w:hAnsi="Verdana"/>
          <w:b/>
        </w:rPr>
        <w:t>.</w:t>
      </w:r>
      <w:r w:rsidR="00E21452" w:rsidRPr="004F5F2B">
        <w:rPr>
          <w:rFonts w:ascii="Verdana" w:hAnsi="Verdana"/>
          <w:b/>
        </w:rPr>
        <w:t xml:space="preserve"> The Guiding principles for the selection of operations</w:t>
      </w:r>
    </w:p>
    <w:p w:rsidR="00E21452" w:rsidRPr="004F5F2B" w:rsidRDefault="00E21452" w:rsidP="008F49F8">
      <w:pPr>
        <w:ind w:right="566"/>
        <w:jc w:val="both"/>
        <w:rPr>
          <w:rFonts w:ascii="Verdana" w:hAnsi="Verdana"/>
          <w:b/>
        </w:rPr>
      </w:pPr>
      <w:r w:rsidRPr="004F5F2B">
        <w:rPr>
          <w:rFonts w:ascii="Verdana" w:hAnsi="Verdana"/>
          <w:b/>
        </w:rPr>
        <w:t>– Article 7 (2) (b</w:t>
      </w:r>
      <w:r w:rsidR="0029014E" w:rsidRPr="004F5F2B">
        <w:rPr>
          <w:rFonts w:ascii="Verdana" w:hAnsi="Verdana"/>
          <w:b/>
        </w:rPr>
        <w:t>) (</w:t>
      </w:r>
      <w:r w:rsidRPr="004F5F2B">
        <w:rPr>
          <w:rFonts w:ascii="Verdana" w:hAnsi="Verdana"/>
          <w:b/>
        </w:rPr>
        <w:t>iii) ETC Regulation</w:t>
      </w:r>
    </w:p>
    <w:p w:rsidR="00E21452" w:rsidRPr="004F5F2B" w:rsidRDefault="00E21452" w:rsidP="00E21452">
      <w:pPr>
        <w:ind w:right="566"/>
        <w:jc w:val="both"/>
        <w:rPr>
          <w:rFonts w:ascii="Verdana" w:hAnsi="Verdana"/>
          <w:i/>
        </w:rPr>
      </w:pPr>
    </w:p>
    <w:p w:rsidR="003F234F" w:rsidRDefault="003F234F" w:rsidP="003F234F">
      <w:pPr>
        <w:spacing w:after="120" w:line="276" w:lineRule="auto"/>
        <w:ind w:right="566"/>
        <w:jc w:val="both"/>
        <w:rPr>
          <w:rFonts w:ascii="Verdana" w:hAnsi="Verdana"/>
          <w:sz w:val="22"/>
          <w:szCs w:val="22"/>
        </w:rPr>
      </w:pPr>
    </w:p>
    <w:p w:rsidR="00E21452" w:rsidRPr="007E33E3" w:rsidRDefault="00E21452" w:rsidP="003F234F">
      <w:pPr>
        <w:spacing w:after="120" w:line="276" w:lineRule="auto"/>
        <w:ind w:right="566"/>
        <w:jc w:val="both"/>
        <w:rPr>
          <w:rFonts w:ascii="Verdana" w:hAnsi="Verdana"/>
          <w:sz w:val="22"/>
          <w:szCs w:val="22"/>
        </w:rPr>
      </w:pPr>
      <w:r w:rsidRPr="007E33E3">
        <w:rPr>
          <w:rFonts w:ascii="Verdana" w:hAnsi="Verdana"/>
          <w:sz w:val="22"/>
          <w:szCs w:val="22"/>
        </w:rPr>
        <w:t>The URBACT III programme will have different kinds of operations and the selection procedures will need to be adapted based on these differences.  The detail for selection of each kind of operation will be determined in the calls for proposals or tender publications but a number of cross cutting principles shall apply:</w:t>
      </w:r>
    </w:p>
    <w:p w:rsidR="00E21452" w:rsidRPr="007E33E3" w:rsidRDefault="00E21452" w:rsidP="00D67ECF">
      <w:pPr>
        <w:pStyle w:val="Paragraphedeliste3"/>
        <w:numPr>
          <w:ilvl w:val="0"/>
          <w:numId w:val="38"/>
        </w:numPr>
        <w:spacing w:after="120"/>
        <w:ind w:left="714" w:right="567" w:hanging="357"/>
        <w:contextualSpacing w:val="0"/>
        <w:jc w:val="both"/>
        <w:rPr>
          <w:rFonts w:ascii="Verdana" w:hAnsi="Verdana"/>
        </w:rPr>
      </w:pPr>
      <w:r w:rsidRPr="007E33E3">
        <w:rPr>
          <w:rFonts w:ascii="Verdana" w:hAnsi="Verdana"/>
        </w:rPr>
        <w:t>Consultation with Member and Partner states as well as other EU associations on the main themes to be proposed</w:t>
      </w:r>
    </w:p>
    <w:p w:rsidR="00E21452" w:rsidRPr="007E33E3" w:rsidRDefault="00E21452" w:rsidP="00D67ECF">
      <w:pPr>
        <w:pStyle w:val="Paragraphedeliste3"/>
        <w:numPr>
          <w:ilvl w:val="0"/>
          <w:numId w:val="38"/>
        </w:numPr>
        <w:spacing w:after="120"/>
        <w:ind w:left="714" w:right="567" w:hanging="357"/>
        <w:contextualSpacing w:val="0"/>
        <w:jc w:val="both"/>
        <w:rPr>
          <w:rFonts w:ascii="Verdana" w:hAnsi="Verdana"/>
        </w:rPr>
      </w:pPr>
      <w:r w:rsidRPr="007E33E3">
        <w:rPr>
          <w:rFonts w:ascii="Verdana" w:hAnsi="Verdana"/>
        </w:rPr>
        <w:t>Open and transparent procedures for calls for proposals involving wide EU level publication and focus on the use of National Points to increase the visibility</w:t>
      </w:r>
    </w:p>
    <w:p w:rsidR="003F234F" w:rsidRDefault="003F234F" w:rsidP="003F234F">
      <w:pPr>
        <w:spacing w:after="120" w:line="276" w:lineRule="auto"/>
        <w:ind w:right="566"/>
        <w:jc w:val="both"/>
        <w:rPr>
          <w:rFonts w:ascii="Verdana" w:hAnsi="Verdana"/>
          <w:sz w:val="22"/>
          <w:szCs w:val="22"/>
          <w:u w:val="single"/>
        </w:rPr>
      </w:pPr>
    </w:p>
    <w:p w:rsidR="00E21452" w:rsidRPr="007E33E3" w:rsidRDefault="00E21452" w:rsidP="003F234F">
      <w:pPr>
        <w:spacing w:after="120" w:line="276" w:lineRule="auto"/>
        <w:ind w:right="566"/>
        <w:jc w:val="both"/>
        <w:rPr>
          <w:rFonts w:ascii="Verdana" w:hAnsi="Verdana"/>
          <w:sz w:val="22"/>
          <w:szCs w:val="22"/>
          <w:u w:val="single"/>
        </w:rPr>
      </w:pPr>
      <w:r w:rsidRPr="007E33E3">
        <w:rPr>
          <w:rFonts w:ascii="Verdana" w:hAnsi="Verdana"/>
          <w:sz w:val="22"/>
          <w:szCs w:val="22"/>
          <w:u w:val="single"/>
        </w:rPr>
        <w:t>Guiding Principles for selection of network projects:</w:t>
      </w:r>
    </w:p>
    <w:p w:rsidR="00E21452" w:rsidRPr="007E33E3" w:rsidRDefault="00E21452" w:rsidP="003F234F">
      <w:pPr>
        <w:spacing w:after="120" w:line="276" w:lineRule="auto"/>
        <w:ind w:right="566"/>
        <w:jc w:val="both"/>
        <w:rPr>
          <w:rFonts w:ascii="Verdana" w:hAnsi="Verdana"/>
          <w:sz w:val="22"/>
          <w:szCs w:val="22"/>
        </w:rPr>
      </w:pPr>
    </w:p>
    <w:p w:rsidR="00E21452" w:rsidRPr="007E33E3" w:rsidRDefault="00E21452" w:rsidP="003F234F">
      <w:pPr>
        <w:spacing w:after="120" w:line="276" w:lineRule="auto"/>
        <w:ind w:right="566"/>
        <w:jc w:val="both"/>
        <w:rPr>
          <w:rFonts w:ascii="Verdana" w:hAnsi="Verdana"/>
          <w:sz w:val="22"/>
          <w:szCs w:val="22"/>
        </w:rPr>
      </w:pPr>
      <w:r w:rsidRPr="007E33E3">
        <w:rPr>
          <w:rFonts w:ascii="Verdana" w:hAnsi="Verdana"/>
          <w:sz w:val="22"/>
          <w:szCs w:val="22"/>
        </w:rPr>
        <w:t xml:space="preserve">The projects for the networking activities are selected through open and transparent calls for proposals. These calls of proposals will be promoted and advertised at European and at national level involving the National Points.  </w:t>
      </w:r>
    </w:p>
    <w:p w:rsidR="00E21452" w:rsidRPr="007E33E3" w:rsidRDefault="00E21452" w:rsidP="003F234F">
      <w:pPr>
        <w:spacing w:after="120" w:line="276" w:lineRule="auto"/>
        <w:ind w:right="566"/>
        <w:jc w:val="both"/>
        <w:rPr>
          <w:rFonts w:ascii="Verdana" w:hAnsi="Verdana"/>
          <w:sz w:val="22"/>
          <w:szCs w:val="22"/>
        </w:rPr>
      </w:pPr>
      <w:r w:rsidRPr="007E33E3">
        <w:rPr>
          <w:rFonts w:ascii="Verdana" w:hAnsi="Verdana"/>
          <w:sz w:val="22"/>
          <w:szCs w:val="22"/>
        </w:rPr>
        <w:t>These calls can address the full thematic scope of the investment priority (the 11 thematic priorities); they can also be targeted to deal with the earmarking of the 5 thematic objectives prioritised in the investment priority (see 1.2).</w:t>
      </w:r>
    </w:p>
    <w:p w:rsidR="00E21452" w:rsidRPr="007E33E3" w:rsidRDefault="00E21452" w:rsidP="003F234F">
      <w:pPr>
        <w:spacing w:after="120" w:line="276" w:lineRule="auto"/>
        <w:ind w:right="566"/>
        <w:jc w:val="both"/>
        <w:rPr>
          <w:rFonts w:ascii="Verdana" w:hAnsi="Verdana"/>
          <w:sz w:val="22"/>
          <w:szCs w:val="22"/>
        </w:rPr>
      </w:pPr>
      <w:r w:rsidRPr="007E33E3">
        <w:rPr>
          <w:rFonts w:ascii="Verdana" w:hAnsi="Verdana"/>
          <w:sz w:val="22"/>
          <w:szCs w:val="22"/>
        </w:rPr>
        <w:t>The terms of reference for such targeted calls for proposals may be defined on the basis of such considerations as the developments and preliminary results of previous calls for proposals, trends and policy developments in the scope of the investment priority, other guidance provided by the programme activities.</w:t>
      </w:r>
    </w:p>
    <w:p w:rsidR="00E21452" w:rsidRPr="007E33E3" w:rsidRDefault="00E21452" w:rsidP="003F234F">
      <w:pPr>
        <w:spacing w:after="120" w:line="276" w:lineRule="auto"/>
        <w:ind w:right="566"/>
        <w:jc w:val="both"/>
        <w:rPr>
          <w:rFonts w:ascii="Verdana" w:hAnsi="Verdana"/>
          <w:sz w:val="22"/>
          <w:szCs w:val="22"/>
        </w:rPr>
      </w:pPr>
    </w:p>
    <w:p w:rsidR="00E21452" w:rsidRPr="007E33E3" w:rsidRDefault="00E21452" w:rsidP="003F234F">
      <w:pPr>
        <w:spacing w:after="120" w:line="276" w:lineRule="auto"/>
        <w:ind w:right="566"/>
        <w:jc w:val="both"/>
        <w:rPr>
          <w:rFonts w:ascii="Verdana" w:hAnsi="Verdana"/>
          <w:sz w:val="22"/>
          <w:szCs w:val="22"/>
          <w:u w:val="single"/>
        </w:rPr>
      </w:pPr>
      <w:r w:rsidRPr="007E33E3">
        <w:rPr>
          <w:rFonts w:ascii="Verdana" w:hAnsi="Verdana"/>
          <w:sz w:val="22"/>
          <w:szCs w:val="22"/>
          <w:u w:val="single"/>
        </w:rPr>
        <w:t>Guiding principles for the approval of other programme activity:</w:t>
      </w:r>
    </w:p>
    <w:p w:rsidR="00E21452" w:rsidRPr="007E33E3" w:rsidRDefault="00E21452" w:rsidP="003F234F">
      <w:pPr>
        <w:spacing w:after="120" w:line="276" w:lineRule="auto"/>
        <w:ind w:right="566"/>
        <w:jc w:val="both"/>
        <w:rPr>
          <w:rFonts w:ascii="Verdana" w:hAnsi="Verdana"/>
          <w:sz w:val="22"/>
          <w:szCs w:val="22"/>
        </w:rPr>
      </w:pPr>
    </w:p>
    <w:p w:rsidR="00E21452" w:rsidRPr="007E33E3" w:rsidRDefault="00E21452" w:rsidP="003F234F">
      <w:pPr>
        <w:spacing w:after="120" w:line="276" w:lineRule="auto"/>
        <w:ind w:right="566"/>
        <w:jc w:val="both"/>
        <w:rPr>
          <w:rFonts w:ascii="Verdana" w:hAnsi="Verdana"/>
          <w:sz w:val="22"/>
          <w:szCs w:val="22"/>
        </w:rPr>
      </w:pPr>
      <w:r w:rsidRPr="007E33E3">
        <w:rPr>
          <w:rFonts w:ascii="Verdana" w:hAnsi="Verdana"/>
          <w:sz w:val="22"/>
          <w:szCs w:val="22"/>
        </w:rPr>
        <w:t>In line with current procedures for project approval, the URBACT Monitoring Committee will be responsible for making all decisions on programme level activities.  Proposals will be made outlining the budgetary requirements as well as the expected outputs during the MC meetings.</w:t>
      </w:r>
    </w:p>
    <w:p w:rsidR="00E21452" w:rsidRPr="007E33E3" w:rsidRDefault="00E21452" w:rsidP="003F234F">
      <w:pPr>
        <w:spacing w:after="120" w:line="276" w:lineRule="auto"/>
        <w:ind w:right="566"/>
        <w:jc w:val="both"/>
        <w:rPr>
          <w:rFonts w:ascii="Verdana" w:hAnsi="Verdana"/>
          <w:sz w:val="22"/>
          <w:szCs w:val="22"/>
        </w:rPr>
      </w:pPr>
    </w:p>
    <w:p w:rsidR="00E21452" w:rsidRPr="007E33E3" w:rsidRDefault="00E21452" w:rsidP="003F234F">
      <w:pPr>
        <w:spacing w:after="120" w:line="276" w:lineRule="auto"/>
        <w:ind w:right="566"/>
        <w:jc w:val="both"/>
        <w:rPr>
          <w:rFonts w:ascii="Verdana" w:hAnsi="Verdana"/>
          <w:sz w:val="22"/>
          <w:szCs w:val="22"/>
        </w:rPr>
      </w:pPr>
    </w:p>
    <w:p w:rsidR="00E21452" w:rsidRPr="004F5F2B" w:rsidRDefault="00DC73D9" w:rsidP="003F234F">
      <w:pPr>
        <w:spacing w:after="120" w:line="276" w:lineRule="auto"/>
        <w:ind w:right="566"/>
        <w:jc w:val="both"/>
        <w:rPr>
          <w:rFonts w:ascii="Verdana" w:hAnsi="Verdana"/>
          <w:b/>
        </w:rPr>
      </w:pPr>
      <w:r w:rsidRPr="004F5F2B">
        <w:rPr>
          <w:rFonts w:ascii="Verdana" w:hAnsi="Verdana"/>
          <w:b/>
        </w:rPr>
        <w:t>2.</w:t>
      </w:r>
      <w:r w:rsidR="008F49F8" w:rsidRPr="004F5F2B">
        <w:rPr>
          <w:rFonts w:ascii="Verdana" w:hAnsi="Verdana"/>
          <w:b/>
        </w:rPr>
        <w:t>A.</w:t>
      </w:r>
      <w:r w:rsidR="003B3E3B" w:rsidRPr="004F5F2B">
        <w:rPr>
          <w:rFonts w:ascii="Verdana" w:hAnsi="Verdana"/>
          <w:b/>
        </w:rPr>
        <w:t>3</w:t>
      </w:r>
      <w:r w:rsidR="008F49F8" w:rsidRPr="004F5F2B">
        <w:rPr>
          <w:rFonts w:ascii="Verdana" w:hAnsi="Verdana"/>
          <w:b/>
        </w:rPr>
        <w:t>.3</w:t>
      </w:r>
      <w:r w:rsidR="00E21452" w:rsidRPr="004F5F2B">
        <w:rPr>
          <w:rFonts w:ascii="Verdana" w:hAnsi="Verdana"/>
          <w:b/>
        </w:rPr>
        <w:t xml:space="preserve"> – Financial Instruments</w:t>
      </w:r>
    </w:p>
    <w:p w:rsidR="00E21452" w:rsidRPr="004F5F2B" w:rsidRDefault="00E21452" w:rsidP="003F234F">
      <w:pPr>
        <w:spacing w:after="120" w:line="276" w:lineRule="auto"/>
        <w:ind w:right="566"/>
        <w:jc w:val="both"/>
        <w:rPr>
          <w:rFonts w:ascii="Verdana" w:hAnsi="Verdana"/>
          <w:b/>
        </w:rPr>
      </w:pPr>
    </w:p>
    <w:p w:rsidR="00E21452" w:rsidRPr="007E33E3" w:rsidRDefault="00E21452" w:rsidP="003F234F">
      <w:pPr>
        <w:spacing w:after="120" w:line="276" w:lineRule="auto"/>
        <w:ind w:right="566"/>
        <w:jc w:val="both"/>
        <w:rPr>
          <w:rFonts w:ascii="Verdana" w:hAnsi="Verdana"/>
          <w:sz w:val="22"/>
          <w:szCs w:val="22"/>
        </w:rPr>
      </w:pPr>
      <w:r w:rsidRPr="007E33E3">
        <w:rPr>
          <w:rFonts w:ascii="Verdana" w:hAnsi="Verdana"/>
          <w:sz w:val="22"/>
          <w:szCs w:val="22"/>
        </w:rPr>
        <w:t>URBACT III is not concerned as it does not use financial instruments.</w:t>
      </w:r>
    </w:p>
    <w:p w:rsidR="00E21452" w:rsidRPr="007E33E3" w:rsidRDefault="00E21452" w:rsidP="003F234F">
      <w:pPr>
        <w:spacing w:after="120" w:line="276" w:lineRule="auto"/>
        <w:ind w:right="566"/>
        <w:jc w:val="both"/>
        <w:rPr>
          <w:rFonts w:ascii="Verdana" w:hAnsi="Verdana"/>
          <w:b/>
          <w:sz w:val="22"/>
          <w:szCs w:val="22"/>
        </w:rPr>
      </w:pPr>
    </w:p>
    <w:p w:rsidR="00E21452" w:rsidRPr="004F5F2B" w:rsidRDefault="00DC73D9" w:rsidP="003F234F">
      <w:pPr>
        <w:spacing w:after="120" w:line="276" w:lineRule="auto"/>
        <w:ind w:right="566"/>
        <w:jc w:val="both"/>
        <w:rPr>
          <w:rFonts w:ascii="Verdana" w:hAnsi="Verdana"/>
          <w:b/>
        </w:rPr>
      </w:pPr>
      <w:r w:rsidRPr="004F5F2B">
        <w:rPr>
          <w:rFonts w:ascii="Verdana" w:hAnsi="Verdana"/>
          <w:b/>
        </w:rPr>
        <w:t>2.</w:t>
      </w:r>
      <w:r w:rsidR="008F49F8" w:rsidRPr="004F5F2B">
        <w:rPr>
          <w:rFonts w:ascii="Verdana" w:hAnsi="Verdana"/>
          <w:b/>
        </w:rPr>
        <w:t>A.</w:t>
      </w:r>
      <w:r w:rsidR="003B3E3B" w:rsidRPr="004F5F2B">
        <w:rPr>
          <w:rFonts w:ascii="Verdana" w:hAnsi="Verdana"/>
          <w:b/>
        </w:rPr>
        <w:t>3</w:t>
      </w:r>
      <w:r w:rsidR="008F49F8" w:rsidRPr="004F5F2B">
        <w:rPr>
          <w:rFonts w:ascii="Verdana" w:hAnsi="Verdana"/>
          <w:b/>
        </w:rPr>
        <w:t>.4</w:t>
      </w:r>
      <w:r w:rsidR="00E21452" w:rsidRPr="004F5F2B">
        <w:rPr>
          <w:rFonts w:ascii="Verdana" w:hAnsi="Verdana"/>
          <w:b/>
        </w:rPr>
        <w:t xml:space="preserve"> – Major Projects</w:t>
      </w:r>
    </w:p>
    <w:p w:rsidR="00E21452" w:rsidRPr="004F5F2B" w:rsidRDefault="00E21452" w:rsidP="003F234F">
      <w:pPr>
        <w:spacing w:after="120" w:line="276" w:lineRule="auto"/>
        <w:ind w:right="566"/>
        <w:jc w:val="both"/>
        <w:rPr>
          <w:rFonts w:ascii="Verdana" w:hAnsi="Verdana"/>
          <w:b/>
        </w:rPr>
      </w:pPr>
    </w:p>
    <w:p w:rsidR="00E21452" w:rsidRPr="007E33E3" w:rsidRDefault="00E21452" w:rsidP="003F234F">
      <w:pPr>
        <w:spacing w:after="120" w:line="276" w:lineRule="auto"/>
        <w:ind w:right="566"/>
        <w:jc w:val="both"/>
        <w:rPr>
          <w:rFonts w:ascii="Verdana" w:hAnsi="Verdana"/>
          <w:sz w:val="22"/>
          <w:szCs w:val="22"/>
        </w:rPr>
      </w:pPr>
      <w:r w:rsidRPr="007E33E3">
        <w:rPr>
          <w:rFonts w:ascii="Verdana" w:hAnsi="Verdana"/>
          <w:sz w:val="22"/>
          <w:szCs w:val="22"/>
        </w:rPr>
        <w:t>There will be no major projects in URBACT III</w:t>
      </w:r>
      <w:r w:rsidR="00BC7448" w:rsidRPr="007E33E3">
        <w:rPr>
          <w:rFonts w:ascii="Verdana" w:hAnsi="Verdana"/>
          <w:sz w:val="22"/>
          <w:szCs w:val="22"/>
        </w:rPr>
        <w:t>.</w:t>
      </w:r>
    </w:p>
    <w:p w:rsidR="00E21452" w:rsidRPr="007E33E3" w:rsidRDefault="00E21452" w:rsidP="003F234F">
      <w:pPr>
        <w:spacing w:after="120" w:line="276" w:lineRule="auto"/>
        <w:ind w:right="566"/>
        <w:jc w:val="both"/>
        <w:rPr>
          <w:rFonts w:ascii="Verdana" w:hAnsi="Verdana"/>
          <w:b/>
          <w:sz w:val="22"/>
          <w:szCs w:val="22"/>
        </w:rPr>
      </w:pPr>
    </w:p>
    <w:p w:rsidR="00E21452" w:rsidRPr="004F5F2B" w:rsidRDefault="00E21452" w:rsidP="003F234F">
      <w:pPr>
        <w:spacing w:after="120" w:line="276" w:lineRule="auto"/>
        <w:ind w:right="566"/>
        <w:jc w:val="both"/>
        <w:rPr>
          <w:rFonts w:ascii="Verdana" w:hAnsi="Verdana"/>
          <w:b/>
        </w:rPr>
      </w:pPr>
    </w:p>
    <w:p w:rsidR="00E21452" w:rsidRPr="004F5F2B" w:rsidRDefault="00E21452" w:rsidP="003F234F">
      <w:pPr>
        <w:spacing w:after="120" w:line="276" w:lineRule="auto"/>
        <w:ind w:right="566"/>
        <w:jc w:val="both"/>
        <w:rPr>
          <w:rFonts w:ascii="Verdana" w:hAnsi="Verdana"/>
          <w:b/>
        </w:rPr>
      </w:pPr>
    </w:p>
    <w:p w:rsidR="000565D8" w:rsidRPr="004F5F2B" w:rsidRDefault="000565D8" w:rsidP="003F234F">
      <w:pPr>
        <w:spacing w:after="120" w:line="276" w:lineRule="auto"/>
        <w:rPr>
          <w:rFonts w:ascii="Verdana" w:hAnsi="Verdana"/>
          <w:b/>
        </w:rPr>
      </w:pPr>
      <w:r w:rsidRPr="004F5F2B">
        <w:rPr>
          <w:rFonts w:ascii="Verdana" w:hAnsi="Verdana"/>
          <w:b/>
        </w:rPr>
        <w:br w:type="page"/>
      </w:r>
    </w:p>
    <w:p w:rsidR="00E21452" w:rsidRDefault="00DC73D9" w:rsidP="003F234F">
      <w:pPr>
        <w:spacing w:after="120" w:line="276" w:lineRule="auto"/>
        <w:ind w:right="566"/>
        <w:jc w:val="both"/>
        <w:rPr>
          <w:rFonts w:ascii="Verdana" w:hAnsi="Verdana"/>
          <w:b/>
        </w:rPr>
      </w:pPr>
      <w:r w:rsidRPr="004F5F2B">
        <w:rPr>
          <w:rFonts w:ascii="Verdana" w:hAnsi="Verdana"/>
          <w:b/>
        </w:rPr>
        <w:t>2.</w:t>
      </w:r>
      <w:r w:rsidR="008F49F8" w:rsidRPr="004F5F2B">
        <w:rPr>
          <w:rFonts w:ascii="Verdana" w:hAnsi="Verdana"/>
          <w:b/>
        </w:rPr>
        <w:t>A.</w:t>
      </w:r>
      <w:r w:rsidR="006364B9" w:rsidRPr="004F5F2B">
        <w:rPr>
          <w:rFonts w:ascii="Verdana" w:hAnsi="Verdana"/>
          <w:b/>
        </w:rPr>
        <w:t>3</w:t>
      </w:r>
      <w:r w:rsidR="008F49F8" w:rsidRPr="004F5F2B">
        <w:rPr>
          <w:rFonts w:ascii="Verdana" w:hAnsi="Verdana"/>
          <w:b/>
        </w:rPr>
        <w:t>.5</w:t>
      </w:r>
      <w:r w:rsidR="00E21452" w:rsidRPr="004F5F2B">
        <w:rPr>
          <w:rFonts w:ascii="Verdana" w:hAnsi="Verdana"/>
          <w:b/>
        </w:rPr>
        <w:t xml:space="preserve"> Common and Programme Specific Output Indicators, including the quantified target value (table 4</w:t>
      </w:r>
      <w:r w:rsidR="0029014E" w:rsidRPr="004F5F2B">
        <w:rPr>
          <w:rFonts w:ascii="Verdana" w:hAnsi="Verdana"/>
          <w:b/>
        </w:rPr>
        <w:t>) –</w:t>
      </w:r>
      <w:r w:rsidR="00E21452" w:rsidRPr="004F5F2B">
        <w:rPr>
          <w:rFonts w:ascii="Verdana" w:hAnsi="Verdana"/>
          <w:b/>
        </w:rPr>
        <w:t xml:space="preserve"> Article 7 (2) (b</w:t>
      </w:r>
      <w:r w:rsidR="0029014E" w:rsidRPr="004F5F2B">
        <w:rPr>
          <w:rFonts w:ascii="Verdana" w:hAnsi="Verdana"/>
          <w:b/>
        </w:rPr>
        <w:t>) (</w:t>
      </w:r>
      <w:r w:rsidR="00E21452" w:rsidRPr="004F5F2B">
        <w:rPr>
          <w:rFonts w:ascii="Verdana" w:hAnsi="Verdana"/>
          <w:b/>
        </w:rPr>
        <w:t>iii) ETC Regulation</w:t>
      </w:r>
    </w:p>
    <w:p w:rsidR="00155DD3" w:rsidRPr="004F5F2B" w:rsidRDefault="00155DD3" w:rsidP="008F49F8">
      <w:pPr>
        <w:spacing w:after="160" w:line="259" w:lineRule="auto"/>
        <w:ind w:right="566"/>
        <w:jc w:val="both"/>
        <w:rPr>
          <w:rFonts w:ascii="Verdana" w:hAnsi="Verdana"/>
        </w:rPr>
      </w:pPr>
    </w:p>
    <w:tbl>
      <w:tblPr>
        <w:tblW w:w="9639" w:type="dxa"/>
        <w:tblInd w:w="-51" w:type="dxa"/>
        <w:tblCellMar>
          <w:top w:w="28" w:type="dxa"/>
          <w:left w:w="57" w:type="dxa"/>
          <w:bottom w:w="28" w:type="dxa"/>
          <w:right w:w="57" w:type="dxa"/>
        </w:tblCellMar>
        <w:tblLook w:val="00A0" w:firstRow="1" w:lastRow="0" w:firstColumn="1" w:lastColumn="0" w:noHBand="0" w:noVBand="0"/>
      </w:tblPr>
      <w:tblGrid>
        <w:gridCol w:w="9668"/>
      </w:tblGrid>
      <w:tr w:rsidR="00E21452" w:rsidRPr="004F5F2B" w:rsidTr="008F49F8">
        <w:trPr>
          <w:cantSplit/>
        </w:trPr>
        <w:tc>
          <w:tcPr>
            <w:tcW w:w="15423" w:type="dxa"/>
            <w:shd w:val="clear" w:color="auto" w:fill="F3F3F3"/>
          </w:tcPr>
          <w:p w:rsidR="00E21452" w:rsidRPr="007E33E3" w:rsidRDefault="00E21452" w:rsidP="00E21452">
            <w:pPr>
              <w:ind w:right="566"/>
              <w:rPr>
                <w:rFonts w:ascii="Verdana" w:hAnsi="Verdana"/>
                <w:b/>
                <w:sz w:val="22"/>
                <w:szCs w:val="22"/>
              </w:rPr>
            </w:pPr>
            <w:r w:rsidRPr="007E33E3">
              <w:rPr>
                <w:rFonts w:ascii="Verdana" w:hAnsi="Verdana"/>
                <w:b/>
                <w:sz w:val="22"/>
                <w:szCs w:val="22"/>
              </w:rPr>
              <w:t>Table 4: Common and Programme Specific Output Indicators</w:t>
            </w:r>
          </w:p>
          <w:p w:rsidR="00E21452" w:rsidRPr="004F5F2B" w:rsidRDefault="00E21452" w:rsidP="00E21452">
            <w:pPr>
              <w:ind w:right="566"/>
              <w:rPr>
                <w:rFonts w:ascii="Verdana" w:hAnsi="Verdana"/>
                <w:b/>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184"/>
              <w:gridCol w:w="1838"/>
              <w:gridCol w:w="1516"/>
              <w:gridCol w:w="1949"/>
            </w:tblGrid>
            <w:tr w:rsidR="00026BA8" w:rsidRPr="007E33E3" w:rsidTr="00155DD3">
              <w:trPr>
                <w:trHeight w:val="870"/>
              </w:trPr>
              <w:tc>
                <w:tcPr>
                  <w:tcW w:w="554"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rPr>
                      <w:rFonts w:ascii="Verdana" w:hAnsi="Verdana"/>
                      <w:b/>
                      <w:sz w:val="20"/>
                      <w:szCs w:val="20"/>
                    </w:rPr>
                  </w:pPr>
                  <w:r w:rsidRPr="007E33E3">
                    <w:rPr>
                      <w:rFonts w:ascii="Verdana" w:hAnsi="Verdana"/>
                      <w:b/>
                      <w:sz w:val="20"/>
                      <w:szCs w:val="20"/>
                    </w:rPr>
                    <w:t>ID</w:t>
                  </w:r>
                </w:p>
              </w:tc>
              <w:tc>
                <w:tcPr>
                  <w:tcW w:w="1668"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rPr>
                      <w:rFonts w:ascii="Verdana" w:hAnsi="Verdana"/>
                      <w:b/>
                      <w:sz w:val="20"/>
                      <w:szCs w:val="20"/>
                    </w:rPr>
                  </w:pPr>
                  <w:r w:rsidRPr="007E33E3">
                    <w:rPr>
                      <w:rFonts w:ascii="Verdana" w:hAnsi="Verdana"/>
                      <w:b/>
                      <w:sz w:val="20"/>
                      <w:szCs w:val="20"/>
                    </w:rPr>
                    <w:t xml:space="preserve">Indicator </w:t>
                  </w:r>
                </w:p>
              </w:tc>
              <w:tc>
                <w:tcPr>
                  <w:tcW w:w="963"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rPr>
                      <w:rFonts w:ascii="Verdana" w:hAnsi="Verdana"/>
                      <w:b/>
                      <w:sz w:val="20"/>
                      <w:szCs w:val="20"/>
                    </w:rPr>
                  </w:pPr>
                  <w:r w:rsidRPr="007E33E3">
                    <w:rPr>
                      <w:rFonts w:ascii="Verdana" w:hAnsi="Verdana"/>
                      <w:b/>
                      <w:sz w:val="20"/>
                      <w:szCs w:val="20"/>
                    </w:rPr>
                    <w:t xml:space="preserve">Measurement Unit </w:t>
                  </w:r>
                </w:p>
              </w:tc>
              <w:tc>
                <w:tcPr>
                  <w:tcW w:w="794"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rPr>
                      <w:rFonts w:ascii="Verdana" w:hAnsi="Verdana"/>
                      <w:b/>
                      <w:sz w:val="20"/>
                      <w:szCs w:val="20"/>
                    </w:rPr>
                  </w:pPr>
                  <w:r w:rsidRPr="007E33E3">
                    <w:rPr>
                      <w:rFonts w:ascii="Verdana" w:hAnsi="Verdana"/>
                      <w:b/>
                      <w:sz w:val="20"/>
                      <w:szCs w:val="20"/>
                    </w:rPr>
                    <w:t xml:space="preserve">Target Value </w:t>
                  </w:r>
                </w:p>
                <w:p w:rsidR="00E21452" w:rsidRPr="007E33E3" w:rsidRDefault="00E21452" w:rsidP="00155DD3">
                  <w:pPr>
                    <w:rPr>
                      <w:rFonts w:ascii="Verdana" w:hAnsi="Verdana"/>
                      <w:b/>
                      <w:sz w:val="20"/>
                      <w:szCs w:val="20"/>
                    </w:rPr>
                  </w:pPr>
                  <w:r w:rsidRPr="007E33E3">
                    <w:rPr>
                      <w:rFonts w:ascii="Verdana" w:hAnsi="Verdana"/>
                      <w:b/>
                      <w:sz w:val="20"/>
                      <w:szCs w:val="20"/>
                    </w:rPr>
                    <w:t>2022</w:t>
                  </w:r>
                </w:p>
              </w:tc>
              <w:tc>
                <w:tcPr>
                  <w:tcW w:w="1021"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rPr>
                      <w:rFonts w:ascii="Verdana" w:hAnsi="Verdana"/>
                      <w:b/>
                      <w:sz w:val="20"/>
                      <w:szCs w:val="20"/>
                    </w:rPr>
                  </w:pPr>
                  <w:r w:rsidRPr="007E33E3">
                    <w:rPr>
                      <w:rFonts w:ascii="Verdana" w:hAnsi="Verdana"/>
                      <w:b/>
                      <w:sz w:val="20"/>
                      <w:szCs w:val="20"/>
                    </w:rPr>
                    <w:t>Source of data</w:t>
                  </w:r>
                </w:p>
              </w:tc>
            </w:tr>
            <w:tr w:rsidR="00026BA8" w:rsidRPr="007E33E3" w:rsidTr="00155DD3">
              <w:trPr>
                <w:trHeight w:val="420"/>
              </w:trPr>
              <w:tc>
                <w:tcPr>
                  <w:tcW w:w="554"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b/>
                      <w:sz w:val="20"/>
                      <w:szCs w:val="20"/>
                    </w:rPr>
                    <w:t>1</w:t>
                  </w:r>
                </w:p>
              </w:tc>
              <w:tc>
                <w:tcPr>
                  <w:tcW w:w="1668"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sz w:val="20"/>
                      <w:szCs w:val="20"/>
                    </w:rPr>
                    <w:t>Total number of networks completed</w:t>
                  </w:r>
                </w:p>
              </w:tc>
              <w:tc>
                <w:tcPr>
                  <w:tcW w:w="963"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sz w:val="20"/>
                      <w:szCs w:val="20"/>
                    </w:rPr>
                    <w:t>Number</w:t>
                  </w:r>
                </w:p>
              </w:tc>
              <w:tc>
                <w:tcPr>
                  <w:tcW w:w="794"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sz w:val="20"/>
                      <w:szCs w:val="20"/>
                    </w:rPr>
                  </w:pPr>
                  <w:r w:rsidRPr="007E33E3">
                    <w:rPr>
                      <w:rFonts w:ascii="Verdana" w:hAnsi="Verdana"/>
                      <w:sz w:val="20"/>
                      <w:szCs w:val="20"/>
                    </w:rPr>
                    <w:t>70</w:t>
                  </w:r>
                </w:p>
              </w:tc>
              <w:tc>
                <w:tcPr>
                  <w:tcW w:w="1021"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sz w:val="20"/>
                      <w:szCs w:val="20"/>
                    </w:rPr>
                    <w:t>Programme monitoring</w:t>
                  </w:r>
                </w:p>
              </w:tc>
            </w:tr>
            <w:tr w:rsidR="00026BA8" w:rsidRPr="007E33E3" w:rsidTr="00155DD3">
              <w:trPr>
                <w:trHeight w:val="428"/>
              </w:trPr>
              <w:tc>
                <w:tcPr>
                  <w:tcW w:w="554"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b/>
                      <w:sz w:val="20"/>
                      <w:szCs w:val="20"/>
                    </w:rPr>
                    <w:t>2</w:t>
                  </w:r>
                </w:p>
              </w:tc>
              <w:tc>
                <w:tcPr>
                  <w:tcW w:w="1668"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sz w:val="20"/>
                      <w:szCs w:val="20"/>
                    </w:rPr>
                    <w:t xml:space="preserve">Number of </w:t>
                  </w:r>
                  <w:r w:rsidR="00026BA8" w:rsidRPr="007E33E3">
                    <w:rPr>
                      <w:rFonts w:ascii="Verdana" w:hAnsi="Verdana"/>
                      <w:sz w:val="20"/>
                      <w:szCs w:val="20"/>
                    </w:rPr>
                    <w:t>integrated a</w:t>
                  </w:r>
                  <w:r w:rsidRPr="007E33E3">
                    <w:rPr>
                      <w:rFonts w:ascii="Verdana" w:hAnsi="Verdana"/>
                      <w:sz w:val="20"/>
                      <w:szCs w:val="20"/>
                    </w:rPr>
                    <w:t xml:space="preserve">ction </w:t>
                  </w:r>
                  <w:r w:rsidR="00026BA8" w:rsidRPr="007E33E3">
                    <w:rPr>
                      <w:rFonts w:ascii="Verdana" w:hAnsi="Verdana"/>
                      <w:sz w:val="20"/>
                      <w:szCs w:val="20"/>
                    </w:rPr>
                    <w:t>p</w:t>
                  </w:r>
                  <w:r w:rsidRPr="007E33E3">
                    <w:rPr>
                      <w:rFonts w:ascii="Verdana" w:hAnsi="Verdana"/>
                      <w:sz w:val="20"/>
                      <w:szCs w:val="20"/>
                    </w:rPr>
                    <w:t>lans developed</w:t>
                  </w:r>
                </w:p>
              </w:tc>
              <w:tc>
                <w:tcPr>
                  <w:tcW w:w="963"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sz w:val="20"/>
                      <w:szCs w:val="20"/>
                    </w:rPr>
                  </w:pPr>
                  <w:r w:rsidRPr="007E33E3">
                    <w:rPr>
                      <w:rFonts w:ascii="Verdana" w:hAnsi="Verdana"/>
                      <w:sz w:val="20"/>
                      <w:szCs w:val="20"/>
                    </w:rPr>
                    <w:t>Number</w:t>
                  </w:r>
                </w:p>
              </w:tc>
              <w:tc>
                <w:tcPr>
                  <w:tcW w:w="794" w:type="pct"/>
                  <w:tcBorders>
                    <w:top w:val="single" w:sz="4" w:space="0" w:color="auto"/>
                    <w:left w:val="single" w:sz="4" w:space="0" w:color="auto"/>
                    <w:bottom w:val="single" w:sz="4" w:space="0" w:color="auto"/>
                    <w:right w:val="single" w:sz="4" w:space="0" w:color="auto"/>
                  </w:tcBorders>
                </w:tcPr>
                <w:p w:rsidR="00E21452" w:rsidRPr="007E33E3" w:rsidRDefault="00026BA8" w:rsidP="00155DD3">
                  <w:pPr>
                    <w:spacing w:before="120" w:after="120"/>
                    <w:rPr>
                      <w:rFonts w:ascii="Verdana" w:hAnsi="Verdana"/>
                      <w:sz w:val="20"/>
                      <w:szCs w:val="20"/>
                    </w:rPr>
                  </w:pPr>
                  <w:r w:rsidRPr="007E33E3">
                    <w:rPr>
                      <w:rFonts w:ascii="Verdana" w:hAnsi="Verdana"/>
                      <w:sz w:val="20"/>
                      <w:szCs w:val="20"/>
                    </w:rPr>
                    <w:t>300</w:t>
                  </w:r>
                </w:p>
              </w:tc>
              <w:tc>
                <w:tcPr>
                  <w:tcW w:w="1021"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sz w:val="20"/>
                      <w:szCs w:val="20"/>
                    </w:rPr>
                    <w:t>Programme monitoring</w:t>
                  </w:r>
                </w:p>
              </w:tc>
            </w:tr>
            <w:tr w:rsidR="00026BA8" w:rsidRPr="007E33E3" w:rsidTr="00155DD3">
              <w:trPr>
                <w:trHeight w:val="420"/>
              </w:trPr>
              <w:tc>
                <w:tcPr>
                  <w:tcW w:w="554"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b/>
                      <w:sz w:val="20"/>
                      <w:szCs w:val="20"/>
                    </w:rPr>
                    <w:t>3</w:t>
                  </w:r>
                </w:p>
              </w:tc>
              <w:tc>
                <w:tcPr>
                  <w:tcW w:w="1668"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sz w:val="20"/>
                      <w:szCs w:val="20"/>
                    </w:rPr>
                    <w:t xml:space="preserve">Number of </w:t>
                  </w:r>
                  <w:r w:rsidR="00DF602D" w:rsidRPr="007E33E3">
                    <w:rPr>
                      <w:rFonts w:ascii="Verdana" w:hAnsi="Verdana"/>
                      <w:sz w:val="20"/>
                      <w:szCs w:val="20"/>
                    </w:rPr>
                    <w:t>cities receiving funding under ERDF Article 7 or Article 8</w:t>
                  </w:r>
                  <w:r w:rsidR="00192BF2" w:rsidRPr="007E33E3">
                    <w:rPr>
                      <w:rFonts w:ascii="Verdana" w:hAnsi="Verdana"/>
                      <w:sz w:val="20"/>
                      <w:szCs w:val="20"/>
                    </w:rPr>
                    <w:t xml:space="preserve"> i</w:t>
                  </w:r>
                  <w:r w:rsidRPr="007E33E3">
                    <w:rPr>
                      <w:rFonts w:ascii="Verdana" w:hAnsi="Verdana"/>
                      <w:sz w:val="20"/>
                      <w:szCs w:val="20"/>
                    </w:rPr>
                    <w:t>nvolved in networks</w:t>
                  </w:r>
                </w:p>
              </w:tc>
              <w:tc>
                <w:tcPr>
                  <w:tcW w:w="963"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sz w:val="20"/>
                      <w:szCs w:val="20"/>
                    </w:rPr>
                    <w:t>Number</w:t>
                  </w:r>
                </w:p>
              </w:tc>
              <w:tc>
                <w:tcPr>
                  <w:tcW w:w="794" w:type="pct"/>
                  <w:tcBorders>
                    <w:top w:val="single" w:sz="4" w:space="0" w:color="auto"/>
                    <w:left w:val="single" w:sz="4" w:space="0" w:color="auto"/>
                    <w:bottom w:val="single" w:sz="4" w:space="0" w:color="auto"/>
                    <w:right w:val="single" w:sz="4" w:space="0" w:color="auto"/>
                  </w:tcBorders>
                </w:tcPr>
                <w:p w:rsidR="00E21452" w:rsidRPr="007E33E3" w:rsidRDefault="00AC3B80" w:rsidP="00155DD3">
                  <w:pPr>
                    <w:spacing w:before="120" w:after="120"/>
                    <w:rPr>
                      <w:rFonts w:ascii="Verdana" w:hAnsi="Verdana"/>
                      <w:sz w:val="20"/>
                      <w:szCs w:val="20"/>
                    </w:rPr>
                  </w:pPr>
                  <w:r w:rsidRPr="007E33E3">
                    <w:rPr>
                      <w:rFonts w:ascii="Verdana" w:hAnsi="Verdana"/>
                      <w:sz w:val="20"/>
                      <w:szCs w:val="20"/>
                    </w:rPr>
                    <w:t>4</w:t>
                  </w:r>
                  <w:r w:rsidR="00E21452" w:rsidRPr="007E33E3">
                    <w:rPr>
                      <w:rFonts w:ascii="Verdana" w:hAnsi="Verdana"/>
                      <w:sz w:val="20"/>
                      <w:szCs w:val="20"/>
                    </w:rPr>
                    <w:t>0</w:t>
                  </w:r>
                </w:p>
              </w:tc>
              <w:tc>
                <w:tcPr>
                  <w:tcW w:w="1021"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sz w:val="20"/>
                      <w:szCs w:val="20"/>
                    </w:rPr>
                    <w:t>Programme monitoring</w:t>
                  </w:r>
                </w:p>
              </w:tc>
            </w:tr>
            <w:tr w:rsidR="00026BA8" w:rsidRPr="007E33E3" w:rsidTr="00155DD3">
              <w:trPr>
                <w:trHeight w:val="420"/>
              </w:trPr>
              <w:tc>
                <w:tcPr>
                  <w:tcW w:w="554"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b/>
                      <w:sz w:val="20"/>
                      <w:szCs w:val="20"/>
                    </w:rPr>
                    <w:t>4</w:t>
                  </w:r>
                </w:p>
              </w:tc>
              <w:tc>
                <w:tcPr>
                  <w:tcW w:w="1668"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sz w:val="20"/>
                      <w:szCs w:val="20"/>
                    </w:rPr>
                  </w:pPr>
                  <w:r w:rsidRPr="007E33E3">
                    <w:rPr>
                      <w:rFonts w:ascii="Verdana" w:hAnsi="Verdana"/>
                      <w:sz w:val="20"/>
                      <w:szCs w:val="20"/>
                    </w:rPr>
                    <w:t xml:space="preserve">Number of </w:t>
                  </w:r>
                  <w:r w:rsidR="00192BF2" w:rsidRPr="007E33E3">
                    <w:rPr>
                      <w:rFonts w:ascii="Verdana" w:hAnsi="Verdana"/>
                      <w:sz w:val="20"/>
                      <w:szCs w:val="20"/>
                    </w:rPr>
                    <w:t xml:space="preserve">additional </w:t>
                  </w:r>
                  <w:r w:rsidRPr="007E33E3">
                    <w:rPr>
                      <w:rFonts w:ascii="Verdana" w:hAnsi="Verdana"/>
                      <w:sz w:val="20"/>
                      <w:szCs w:val="20"/>
                    </w:rPr>
                    <w:t xml:space="preserve">Cities </w:t>
                  </w:r>
                  <w:r w:rsidR="00155DD3" w:rsidRPr="007E33E3">
                    <w:rPr>
                      <w:rFonts w:ascii="Verdana" w:hAnsi="Verdana"/>
                      <w:sz w:val="20"/>
                      <w:szCs w:val="20"/>
                    </w:rPr>
                    <w:t>a</w:t>
                  </w:r>
                  <w:r w:rsidR="00026BA8" w:rsidRPr="007E33E3">
                    <w:rPr>
                      <w:rFonts w:ascii="Verdana" w:hAnsi="Verdana"/>
                      <w:sz w:val="20"/>
                      <w:szCs w:val="20"/>
                    </w:rPr>
                    <w:t xml:space="preserve">ctively </w:t>
                  </w:r>
                  <w:r w:rsidRPr="007E33E3">
                    <w:rPr>
                      <w:rFonts w:ascii="Verdana" w:hAnsi="Verdana"/>
                      <w:sz w:val="20"/>
                      <w:szCs w:val="20"/>
                    </w:rPr>
                    <w:t>using RFSC</w:t>
                  </w:r>
                  <w:r w:rsidR="00026BA8" w:rsidRPr="007E33E3">
                    <w:rPr>
                      <w:rFonts w:ascii="Verdana" w:hAnsi="Verdana"/>
                      <w:sz w:val="20"/>
                      <w:szCs w:val="20"/>
                    </w:rPr>
                    <w:t xml:space="preserve"> as a result of URBACT activities (not having an active “RFSC city” account prior joining URBACT)</w:t>
                  </w:r>
                </w:p>
              </w:tc>
              <w:tc>
                <w:tcPr>
                  <w:tcW w:w="963"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sz w:val="20"/>
                      <w:szCs w:val="20"/>
                    </w:rPr>
                  </w:pPr>
                  <w:r w:rsidRPr="007E33E3">
                    <w:rPr>
                      <w:rFonts w:ascii="Verdana" w:hAnsi="Verdana"/>
                      <w:sz w:val="20"/>
                      <w:szCs w:val="20"/>
                    </w:rPr>
                    <w:t>Number</w:t>
                  </w:r>
                </w:p>
              </w:tc>
              <w:tc>
                <w:tcPr>
                  <w:tcW w:w="794" w:type="pct"/>
                  <w:tcBorders>
                    <w:top w:val="single" w:sz="4" w:space="0" w:color="auto"/>
                    <w:left w:val="single" w:sz="4" w:space="0" w:color="auto"/>
                    <w:bottom w:val="single" w:sz="4" w:space="0" w:color="auto"/>
                    <w:right w:val="single" w:sz="4" w:space="0" w:color="auto"/>
                  </w:tcBorders>
                </w:tcPr>
                <w:p w:rsidR="00E21452" w:rsidRPr="007E33E3" w:rsidRDefault="00026BA8" w:rsidP="00155DD3">
                  <w:pPr>
                    <w:spacing w:before="120" w:after="120"/>
                    <w:rPr>
                      <w:rFonts w:ascii="Verdana" w:hAnsi="Verdana"/>
                      <w:sz w:val="20"/>
                      <w:szCs w:val="20"/>
                    </w:rPr>
                  </w:pPr>
                  <w:r w:rsidRPr="007E33E3">
                    <w:rPr>
                      <w:rFonts w:ascii="Verdana" w:hAnsi="Verdana"/>
                      <w:sz w:val="20"/>
                      <w:szCs w:val="20"/>
                    </w:rPr>
                    <w:t>50</w:t>
                  </w:r>
                </w:p>
              </w:tc>
              <w:tc>
                <w:tcPr>
                  <w:tcW w:w="1021"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sz w:val="20"/>
                      <w:szCs w:val="20"/>
                    </w:rPr>
                  </w:pPr>
                  <w:r w:rsidRPr="007E33E3">
                    <w:rPr>
                      <w:rFonts w:ascii="Verdana" w:hAnsi="Verdana"/>
                      <w:sz w:val="20"/>
                      <w:szCs w:val="20"/>
                    </w:rPr>
                    <w:t>Programme monitoring</w:t>
                  </w:r>
                </w:p>
              </w:tc>
            </w:tr>
            <w:tr w:rsidR="00026BA8" w:rsidRPr="007E33E3" w:rsidTr="00155DD3">
              <w:trPr>
                <w:trHeight w:val="420"/>
              </w:trPr>
              <w:tc>
                <w:tcPr>
                  <w:tcW w:w="554"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b/>
                      <w:sz w:val="20"/>
                      <w:szCs w:val="20"/>
                    </w:rPr>
                    <w:t>5</w:t>
                  </w:r>
                </w:p>
              </w:tc>
              <w:tc>
                <w:tcPr>
                  <w:tcW w:w="1668"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sz w:val="20"/>
                      <w:szCs w:val="20"/>
                    </w:rPr>
                  </w:pPr>
                  <w:r w:rsidRPr="007E33E3">
                    <w:rPr>
                      <w:rFonts w:ascii="Verdana" w:hAnsi="Verdana"/>
                      <w:sz w:val="20"/>
                      <w:szCs w:val="20"/>
                    </w:rPr>
                    <w:t xml:space="preserve">Number of </w:t>
                  </w:r>
                  <w:r w:rsidR="00026BA8" w:rsidRPr="007E33E3">
                    <w:rPr>
                      <w:rFonts w:ascii="Verdana" w:hAnsi="Verdana"/>
                      <w:sz w:val="20"/>
                      <w:szCs w:val="20"/>
                    </w:rPr>
                    <w:t xml:space="preserve">local stakeholders involved in URBACT network activities at local level </w:t>
                  </w:r>
                  <w:r w:rsidR="00AC3B80" w:rsidRPr="007E33E3">
                    <w:rPr>
                      <w:rFonts w:ascii="Verdana" w:hAnsi="Verdana"/>
                      <w:sz w:val="20"/>
                      <w:szCs w:val="20"/>
                    </w:rPr>
                    <w:t>(</w:t>
                  </w:r>
                  <w:r w:rsidR="00026BA8" w:rsidRPr="007E33E3">
                    <w:rPr>
                      <w:rFonts w:ascii="Verdana" w:hAnsi="Verdana"/>
                      <w:sz w:val="20"/>
                      <w:szCs w:val="20"/>
                    </w:rPr>
                    <w:t xml:space="preserve">URBACT </w:t>
                  </w:r>
                  <w:r w:rsidR="00AC3B80" w:rsidRPr="007E33E3">
                    <w:rPr>
                      <w:rFonts w:ascii="Verdana" w:hAnsi="Verdana"/>
                      <w:sz w:val="20"/>
                      <w:szCs w:val="20"/>
                    </w:rPr>
                    <w:t>Local Support Groups members)</w:t>
                  </w:r>
                </w:p>
              </w:tc>
              <w:tc>
                <w:tcPr>
                  <w:tcW w:w="963"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sz w:val="20"/>
                      <w:szCs w:val="20"/>
                    </w:rPr>
                    <w:t>Number</w:t>
                  </w:r>
                </w:p>
              </w:tc>
              <w:tc>
                <w:tcPr>
                  <w:tcW w:w="794"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sz w:val="20"/>
                      <w:szCs w:val="20"/>
                    </w:rPr>
                  </w:pPr>
                  <w:r w:rsidRPr="007E33E3">
                    <w:rPr>
                      <w:rFonts w:ascii="Verdana" w:hAnsi="Verdana"/>
                      <w:sz w:val="20"/>
                      <w:szCs w:val="20"/>
                    </w:rPr>
                    <w:t>600</w:t>
                  </w:r>
                  <w:r w:rsidR="00AC3B80" w:rsidRPr="007E33E3">
                    <w:rPr>
                      <w:rFonts w:ascii="Verdana" w:hAnsi="Verdana"/>
                      <w:sz w:val="20"/>
                      <w:szCs w:val="20"/>
                    </w:rPr>
                    <w:t>0</w:t>
                  </w:r>
                </w:p>
              </w:tc>
              <w:tc>
                <w:tcPr>
                  <w:tcW w:w="1021"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sz w:val="20"/>
                      <w:szCs w:val="20"/>
                    </w:rPr>
                    <w:t>Programme monitoring</w:t>
                  </w:r>
                </w:p>
              </w:tc>
            </w:tr>
            <w:tr w:rsidR="00026BA8" w:rsidRPr="007E33E3" w:rsidTr="00155DD3">
              <w:trPr>
                <w:trHeight w:val="420"/>
              </w:trPr>
              <w:tc>
                <w:tcPr>
                  <w:tcW w:w="554"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b/>
                      <w:sz w:val="20"/>
                      <w:szCs w:val="20"/>
                    </w:rPr>
                    <w:t>6</w:t>
                  </w:r>
                </w:p>
              </w:tc>
              <w:tc>
                <w:tcPr>
                  <w:tcW w:w="1668"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sz w:val="20"/>
                      <w:szCs w:val="20"/>
                    </w:rPr>
                    <w:t xml:space="preserve">Number of </w:t>
                  </w:r>
                  <w:r w:rsidR="00026BA8" w:rsidRPr="007E33E3">
                    <w:rPr>
                      <w:rFonts w:ascii="Verdana" w:hAnsi="Verdana"/>
                      <w:sz w:val="20"/>
                      <w:szCs w:val="20"/>
                    </w:rPr>
                    <w:t xml:space="preserve">stakeholders </w:t>
                  </w:r>
                  <w:r w:rsidR="00A40CBB" w:rsidRPr="007E33E3">
                    <w:rPr>
                      <w:rFonts w:ascii="Verdana" w:hAnsi="Verdana"/>
                      <w:sz w:val="20"/>
                      <w:szCs w:val="20"/>
                    </w:rPr>
                    <w:t>participating</w:t>
                  </w:r>
                  <w:r w:rsidR="00026BA8" w:rsidRPr="007E33E3">
                    <w:rPr>
                      <w:rFonts w:ascii="Verdana" w:hAnsi="Verdana"/>
                      <w:sz w:val="20"/>
                      <w:szCs w:val="20"/>
                    </w:rPr>
                    <w:t xml:space="preserve"> </w:t>
                  </w:r>
                  <w:r w:rsidRPr="007E33E3">
                    <w:rPr>
                      <w:rFonts w:ascii="Verdana" w:hAnsi="Verdana"/>
                      <w:sz w:val="20"/>
                      <w:szCs w:val="20"/>
                    </w:rPr>
                    <w:t xml:space="preserve">in capacity building activities </w:t>
                  </w:r>
                </w:p>
              </w:tc>
              <w:tc>
                <w:tcPr>
                  <w:tcW w:w="963"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sz w:val="20"/>
                      <w:szCs w:val="20"/>
                    </w:rPr>
                    <w:t>Number</w:t>
                  </w:r>
                </w:p>
              </w:tc>
              <w:tc>
                <w:tcPr>
                  <w:tcW w:w="794" w:type="pct"/>
                  <w:tcBorders>
                    <w:top w:val="single" w:sz="4" w:space="0" w:color="auto"/>
                    <w:left w:val="single" w:sz="4" w:space="0" w:color="auto"/>
                    <w:bottom w:val="single" w:sz="4" w:space="0" w:color="auto"/>
                    <w:right w:val="single" w:sz="4" w:space="0" w:color="auto"/>
                  </w:tcBorders>
                </w:tcPr>
                <w:p w:rsidR="00E21452" w:rsidRPr="007E33E3" w:rsidRDefault="00AC3B80" w:rsidP="00155DD3">
                  <w:pPr>
                    <w:spacing w:before="120" w:after="120"/>
                    <w:rPr>
                      <w:rFonts w:ascii="Verdana" w:hAnsi="Verdana"/>
                      <w:sz w:val="20"/>
                      <w:szCs w:val="20"/>
                    </w:rPr>
                  </w:pPr>
                  <w:r w:rsidRPr="007E33E3">
                    <w:rPr>
                      <w:rFonts w:ascii="Verdana" w:hAnsi="Verdana"/>
                      <w:sz w:val="20"/>
                      <w:szCs w:val="20"/>
                    </w:rPr>
                    <w:t>2600</w:t>
                  </w:r>
                </w:p>
              </w:tc>
              <w:tc>
                <w:tcPr>
                  <w:tcW w:w="1021"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sz w:val="20"/>
                      <w:szCs w:val="20"/>
                    </w:rPr>
                    <w:t>Programme monitoring</w:t>
                  </w:r>
                </w:p>
              </w:tc>
            </w:tr>
            <w:tr w:rsidR="00026BA8" w:rsidRPr="007E33E3" w:rsidTr="00155DD3">
              <w:trPr>
                <w:trHeight w:val="254"/>
              </w:trPr>
              <w:tc>
                <w:tcPr>
                  <w:tcW w:w="554"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b/>
                      <w:sz w:val="20"/>
                      <w:szCs w:val="20"/>
                    </w:rPr>
                    <w:t>7</w:t>
                  </w:r>
                </w:p>
              </w:tc>
              <w:tc>
                <w:tcPr>
                  <w:tcW w:w="1668"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sz w:val="20"/>
                      <w:szCs w:val="20"/>
                    </w:rPr>
                    <w:t xml:space="preserve">Number of programme level and thematic events organised </w:t>
                  </w:r>
                </w:p>
              </w:tc>
              <w:tc>
                <w:tcPr>
                  <w:tcW w:w="963"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sz w:val="20"/>
                      <w:szCs w:val="20"/>
                    </w:rPr>
                    <w:t>Number</w:t>
                  </w:r>
                </w:p>
              </w:tc>
              <w:tc>
                <w:tcPr>
                  <w:tcW w:w="794"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sz w:val="20"/>
                      <w:szCs w:val="20"/>
                    </w:rPr>
                  </w:pPr>
                  <w:r w:rsidRPr="007E33E3">
                    <w:rPr>
                      <w:rFonts w:ascii="Verdana" w:hAnsi="Verdana"/>
                      <w:sz w:val="20"/>
                      <w:szCs w:val="20"/>
                    </w:rPr>
                    <w:t>7</w:t>
                  </w:r>
                </w:p>
              </w:tc>
              <w:tc>
                <w:tcPr>
                  <w:tcW w:w="1021"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sz w:val="20"/>
                      <w:szCs w:val="20"/>
                    </w:rPr>
                    <w:t>Programme monitoring</w:t>
                  </w:r>
                </w:p>
              </w:tc>
            </w:tr>
            <w:tr w:rsidR="00026BA8" w:rsidRPr="007E33E3" w:rsidTr="00155DD3">
              <w:trPr>
                <w:trHeight w:val="420"/>
              </w:trPr>
              <w:tc>
                <w:tcPr>
                  <w:tcW w:w="554"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b/>
                      <w:sz w:val="20"/>
                      <w:szCs w:val="20"/>
                    </w:rPr>
                    <w:t>8</w:t>
                  </w:r>
                </w:p>
              </w:tc>
              <w:tc>
                <w:tcPr>
                  <w:tcW w:w="1668"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sz w:val="20"/>
                      <w:szCs w:val="20"/>
                    </w:rPr>
                    <w:t>Number of National Points created</w:t>
                  </w:r>
                </w:p>
              </w:tc>
              <w:tc>
                <w:tcPr>
                  <w:tcW w:w="963"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sz w:val="20"/>
                      <w:szCs w:val="20"/>
                    </w:rPr>
                    <w:t>Number</w:t>
                  </w:r>
                </w:p>
              </w:tc>
              <w:tc>
                <w:tcPr>
                  <w:tcW w:w="794"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sz w:val="20"/>
                      <w:szCs w:val="20"/>
                    </w:rPr>
                  </w:pPr>
                  <w:r w:rsidRPr="007E33E3">
                    <w:rPr>
                      <w:rFonts w:ascii="Verdana" w:hAnsi="Verdana"/>
                      <w:sz w:val="20"/>
                      <w:szCs w:val="20"/>
                    </w:rPr>
                    <w:t>24</w:t>
                  </w:r>
                </w:p>
              </w:tc>
              <w:tc>
                <w:tcPr>
                  <w:tcW w:w="1021" w:type="pct"/>
                  <w:tcBorders>
                    <w:top w:val="single" w:sz="4" w:space="0" w:color="auto"/>
                    <w:left w:val="single" w:sz="4" w:space="0" w:color="auto"/>
                    <w:bottom w:val="single" w:sz="4" w:space="0" w:color="auto"/>
                    <w:right w:val="single" w:sz="4" w:space="0" w:color="auto"/>
                  </w:tcBorders>
                </w:tcPr>
                <w:p w:rsidR="00E21452" w:rsidRPr="007E33E3" w:rsidRDefault="00E21452" w:rsidP="00155DD3">
                  <w:pPr>
                    <w:spacing w:before="120" w:after="120"/>
                    <w:rPr>
                      <w:rFonts w:ascii="Verdana" w:hAnsi="Verdana"/>
                      <w:b/>
                      <w:sz w:val="20"/>
                      <w:szCs w:val="20"/>
                    </w:rPr>
                  </w:pPr>
                  <w:r w:rsidRPr="007E33E3">
                    <w:rPr>
                      <w:rFonts w:ascii="Verdana" w:hAnsi="Verdana"/>
                      <w:sz w:val="20"/>
                      <w:szCs w:val="20"/>
                    </w:rPr>
                    <w:t>Programme monitoring</w:t>
                  </w:r>
                </w:p>
              </w:tc>
            </w:tr>
          </w:tbl>
          <w:p w:rsidR="00E21452" w:rsidRPr="004F5F2B" w:rsidRDefault="00E21452" w:rsidP="00E21452">
            <w:pPr>
              <w:spacing w:line="256" w:lineRule="auto"/>
              <w:ind w:right="566"/>
              <w:jc w:val="both"/>
              <w:rPr>
                <w:rFonts w:ascii="Verdana" w:hAnsi="Verdana"/>
                <w:b/>
              </w:rPr>
            </w:pPr>
          </w:p>
        </w:tc>
      </w:tr>
    </w:tbl>
    <w:p w:rsidR="00412D4A" w:rsidRPr="004F5F2B" w:rsidRDefault="00412D4A">
      <w:pPr>
        <w:spacing w:after="200" w:line="276" w:lineRule="auto"/>
        <w:rPr>
          <w:rFonts w:ascii="Verdana" w:hAnsi="Verdana"/>
          <w:b/>
          <w:u w:val="single"/>
        </w:rPr>
      </w:pPr>
      <w:r w:rsidRPr="004F5F2B">
        <w:rPr>
          <w:rFonts w:ascii="Verdana" w:hAnsi="Verdana"/>
          <w:b/>
          <w:u w:val="single"/>
        </w:rPr>
        <w:br w:type="page"/>
      </w:r>
    </w:p>
    <w:p w:rsidR="00E21452" w:rsidRPr="004F5F2B" w:rsidRDefault="00E21452" w:rsidP="003B7BFA">
      <w:pPr>
        <w:pStyle w:val="2"/>
        <w:ind w:left="709" w:hanging="709"/>
        <w:jc w:val="left"/>
      </w:pPr>
      <w:bookmarkStart w:id="18" w:name="_Toc384648442"/>
      <w:r w:rsidRPr="004F5F2B">
        <w:t>2.A.</w:t>
      </w:r>
      <w:r w:rsidR="00C4264F" w:rsidRPr="004F5F2B">
        <w:t>4</w:t>
      </w:r>
      <w:r w:rsidRPr="004F5F2B">
        <w:t xml:space="preserve"> </w:t>
      </w:r>
      <w:r w:rsidR="00A97643">
        <w:tab/>
      </w:r>
      <w:r w:rsidRPr="004F5F2B">
        <w:t>Performance framework - Article 7 (2) (b</w:t>
      </w:r>
      <w:r w:rsidR="0029014E" w:rsidRPr="004F5F2B">
        <w:t>) (</w:t>
      </w:r>
      <w:r w:rsidRPr="004F5F2B">
        <w:t xml:space="preserve">v) ETC </w:t>
      </w:r>
      <w:r w:rsidR="003B7BFA">
        <w:tab/>
      </w:r>
      <w:r w:rsidRPr="004F5F2B">
        <w:t>Regulation</w:t>
      </w:r>
      <w:bookmarkEnd w:id="18"/>
      <w:r w:rsidRPr="004F5F2B">
        <w:t xml:space="preserve"> </w:t>
      </w:r>
    </w:p>
    <w:p w:rsidR="00E21452" w:rsidRPr="004F5F2B" w:rsidRDefault="00E21452" w:rsidP="00E21452">
      <w:pPr>
        <w:ind w:right="566"/>
        <w:jc w:val="both"/>
        <w:rPr>
          <w:rFonts w:ascii="Verdana" w:hAnsi="Verdana"/>
          <w:b/>
        </w:rPr>
      </w:pPr>
    </w:p>
    <w:p w:rsidR="00E21452" w:rsidRPr="007E33E3" w:rsidRDefault="00E21452" w:rsidP="00E21452">
      <w:pPr>
        <w:ind w:right="566"/>
        <w:rPr>
          <w:rFonts w:ascii="Verdana" w:hAnsi="Verdana"/>
          <w:b/>
          <w:sz w:val="22"/>
          <w:szCs w:val="22"/>
        </w:rPr>
      </w:pPr>
      <w:r w:rsidRPr="007E33E3">
        <w:rPr>
          <w:rFonts w:ascii="Verdana" w:hAnsi="Verdana"/>
          <w:b/>
          <w:sz w:val="22"/>
          <w:szCs w:val="22"/>
        </w:rPr>
        <w:t>Table 5: The performance framework of the priority axis</w:t>
      </w:r>
    </w:p>
    <w:p w:rsidR="00E21452" w:rsidRPr="004F5F2B" w:rsidRDefault="00E21452" w:rsidP="00E21452">
      <w:pPr>
        <w:ind w:right="566"/>
        <w:rPr>
          <w:rFonts w:ascii="Verdana" w:hAnsi="Verdana"/>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6"/>
        <w:gridCol w:w="1414"/>
        <w:gridCol w:w="993"/>
        <w:gridCol w:w="1984"/>
        <w:gridCol w:w="1701"/>
      </w:tblGrid>
      <w:tr w:rsidR="00884E2A" w:rsidRPr="003F234F" w:rsidTr="007E33E3">
        <w:trPr>
          <w:trHeight w:val="2255"/>
        </w:trPr>
        <w:tc>
          <w:tcPr>
            <w:tcW w:w="1043" w:type="pct"/>
            <w:tcBorders>
              <w:top w:val="single" w:sz="4" w:space="0" w:color="auto"/>
              <w:left w:val="single" w:sz="4" w:space="0" w:color="auto"/>
              <w:bottom w:val="single" w:sz="4" w:space="0" w:color="auto"/>
              <w:right w:val="single" w:sz="4" w:space="0" w:color="auto"/>
            </w:tcBorders>
            <w:vAlign w:val="center"/>
          </w:tcPr>
          <w:p w:rsidR="00E21452" w:rsidRPr="003F234F" w:rsidRDefault="00E21452" w:rsidP="007E33E3">
            <w:pPr>
              <w:spacing w:before="120" w:after="120"/>
              <w:jc w:val="center"/>
              <w:rPr>
                <w:rFonts w:ascii="Verdana" w:hAnsi="Verdana"/>
                <w:b/>
                <w:i/>
                <w:sz w:val="18"/>
                <w:szCs w:val="18"/>
              </w:rPr>
            </w:pPr>
            <w:r w:rsidRPr="003F234F">
              <w:rPr>
                <w:rFonts w:ascii="Verdana" w:hAnsi="Verdana"/>
                <w:b/>
                <w:i/>
                <w:sz w:val="18"/>
                <w:szCs w:val="18"/>
              </w:rPr>
              <w:t>Implementation</w:t>
            </w:r>
          </w:p>
          <w:p w:rsidR="00E21452" w:rsidRPr="003F234F" w:rsidRDefault="00E21452" w:rsidP="007E33E3">
            <w:pPr>
              <w:spacing w:before="120" w:after="120"/>
              <w:jc w:val="center"/>
              <w:rPr>
                <w:rFonts w:ascii="Verdana" w:hAnsi="Verdana"/>
                <w:b/>
                <w:i/>
                <w:sz w:val="18"/>
                <w:szCs w:val="18"/>
              </w:rPr>
            </w:pPr>
            <w:r w:rsidRPr="003F234F">
              <w:rPr>
                <w:rFonts w:ascii="Verdana" w:hAnsi="Verdana"/>
                <w:b/>
                <w:i/>
                <w:sz w:val="18"/>
                <w:szCs w:val="18"/>
              </w:rPr>
              <w:t>step. financial,</w:t>
            </w:r>
          </w:p>
          <w:p w:rsidR="00E21452" w:rsidRPr="003F234F" w:rsidRDefault="00E21452" w:rsidP="007E33E3">
            <w:pPr>
              <w:spacing w:before="120" w:after="120"/>
              <w:jc w:val="center"/>
              <w:rPr>
                <w:rFonts w:ascii="Verdana" w:hAnsi="Verdana"/>
                <w:b/>
                <w:i/>
                <w:sz w:val="18"/>
                <w:szCs w:val="18"/>
              </w:rPr>
            </w:pPr>
            <w:r w:rsidRPr="003F234F">
              <w:rPr>
                <w:rFonts w:ascii="Verdana" w:hAnsi="Verdana"/>
                <w:b/>
                <w:i/>
                <w:sz w:val="18"/>
                <w:szCs w:val="18"/>
              </w:rPr>
              <w:t>result indicator</w:t>
            </w:r>
          </w:p>
        </w:tc>
        <w:tc>
          <w:tcPr>
            <w:tcW w:w="920" w:type="pct"/>
            <w:tcBorders>
              <w:top w:val="single" w:sz="4" w:space="0" w:color="auto"/>
              <w:left w:val="single" w:sz="4" w:space="0" w:color="auto"/>
              <w:bottom w:val="single" w:sz="4" w:space="0" w:color="auto"/>
              <w:right w:val="single" w:sz="4" w:space="0" w:color="auto"/>
            </w:tcBorders>
            <w:vAlign w:val="center"/>
          </w:tcPr>
          <w:p w:rsidR="00E21452" w:rsidRPr="003F234F" w:rsidRDefault="00E21452" w:rsidP="007E33E3">
            <w:pPr>
              <w:spacing w:before="120" w:after="120"/>
              <w:jc w:val="center"/>
              <w:rPr>
                <w:rFonts w:ascii="Verdana" w:hAnsi="Verdana"/>
                <w:b/>
                <w:i/>
                <w:sz w:val="18"/>
                <w:szCs w:val="18"/>
              </w:rPr>
            </w:pPr>
            <w:r w:rsidRPr="003F234F">
              <w:rPr>
                <w:rFonts w:ascii="Verdana" w:hAnsi="Verdana"/>
                <w:b/>
                <w:i/>
                <w:sz w:val="18"/>
                <w:szCs w:val="18"/>
              </w:rPr>
              <w:t>Measurement Unit</w:t>
            </w:r>
          </w:p>
        </w:tc>
        <w:tc>
          <w:tcPr>
            <w:tcW w:w="705" w:type="pct"/>
            <w:tcBorders>
              <w:top w:val="single" w:sz="4" w:space="0" w:color="auto"/>
              <w:left w:val="single" w:sz="4" w:space="0" w:color="auto"/>
              <w:bottom w:val="single" w:sz="4" w:space="0" w:color="auto"/>
              <w:right w:val="single" w:sz="4" w:space="0" w:color="auto"/>
            </w:tcBorders>
            <w:vAlign w:val="center"/>
          </w:tcPr>
          <w:p w:rsidR="00E21452" w:rsidRPr="003F234F" w:rsidRDefault="00E21452" w:rsidP="007E33E3">
            <w:pPr>
              <w:spacing w:before="120" w:after="120"/>
              <w:jc w:val="center"/>
              <w:rPr>
                <w:rFonts w:ascii="Verdana" w:hAnsi="Verdana"/>
                <w:b/>
                <w:i/>
                <w:sz w:val="18"/>
                <w:szCs w:val="18"/>
              </w:rPr>
            </w:pPr>
            <w:r w:rsidRPr="003F234F">
              <w:rPr>
                <w:rFonts w:ascii="Verdana" w:hAnsi="Verdana"/>
                <w:b/>
                <w:i/>
                <w:sz w:val="18"/>
                <w:szCs w:val="18"/>
              </w:rPr>
              <w:t>Milestone for 2018</w:t>
            </w:r>
          </w:p>
        </w:tc>
        <w:tc>
          <w:tcPr>
            <w:tcW w:w="495" w:type="pct"/>
            <w:tcBorders>
              <w:top w:val="single" w:sz="4" w:space="0" w:color="auto"/>
              <w:left w:val="single" w:sz="4" w:space="0" w:color="auto"/>
              <w:bottom w:val="single" w:sz="4" w:space="0" w:color="auto"/>
              <w:right w:val="single" w:sz="4" w:space="0" w:color="auto"/>
            </w:tcBorders>
            <w:vAlign w:val="center"/>
          </w:tcPr>
          <w:p w:rsidR="00E21452" w:rsidRPr="003F234F" w:rsidRDefault="00E21452" w:rsidP="007E33E3">
            <w:pPr>
              <w:spacing w:before="120" w:after="120"/>
              <w:jc w:val="center"/>
              <w:rPr>
                <w:rFonts w:ascii="Verdana" w:hAnsi="Verdana"/>
                <w:b/>
                <w:i/>
                <w:sz w:val="18"/>
                <w:szCs w:val="18"/>
              </w:rPr>
            </w:pPr>
            <w:r w:rsidRPr="003F234F">
              <w:rPr>
                <w:rFonts w:ascii="Verdana" w:hAnsi="Verdana"/>
                <w:b/>
                <w:i/>
                <w:sz w:val="18"/>
                <w:szCs w:val="18"/>
              </w:rPr>
              <w:t>Final Target</w:t>
            </w:r>
          </w:p>
          <w:p w:rsidR="00E21452" w:rsidRPr="003F234F" w:rsidRDefault="00E21452" w:rsidP="007E33E3">
            <w:pPr>
              <w:spacing w:before="120" w:after="120"/>
              <w:jc w:val="center"/>
              <w:rPr>
                <w:rFonts w:ascii="Verdana" w:hAnsi="Verdana"/>
                <w:b/>
                <w:i/>
                <w:sz w:val="18"/>
                <w:szCs w:val="18"/>
              </w:rPr>
            </w:pPr>
            <w:r w:rsidRPr="003F234F">
              <w:rPr>
                <w:rFonts w:ascii="Verdana" w:hAnsi="Verdana"/>
                <w:b/>
                <w:i/>
                <w:sz w:val="18"/>
                <w:szCs w:val="18"/>
              </w:rPr>
              <w:t>2022</w:t>
            </w:r>
          </w:p>
        </w:tc>
        <w:tc>
          <w:tcPr>
            <w:tcW w:w="989" w:type="pct"/>
            <w:tcBorders>
              <w:top w:val="single" w:sz="4" w:space="0" w:color="auto"/>
              <w:left w:val="single" w:sz="4" w:space="0" w:color="auto"/>
              <w:bottom w:val="single" w:sz="4" w:space="0" w:color="auto"/>
              <w:right w:val="single" w:sz="4" w:space="0" w:color="auto"/>
            </w:tcBorders>
            <w:vAlign w:val="center"/>
          </w:tcPr>
          <w:p w:rsidR="00E21452" w:rsidRPr="003F234F" w:rsidRDefault="00E21452" w:rsidP="007E33E3">
            <w:pPr>
              <w:spacing w:before="120" w:after="120"/>
              <w:jc w:val="center"/>
              <w:rPr>
                <w:rFonts w:ascii="Verdana" w:hAnsi="Verdana"/>
                <w:b/>
                <w:i/>
                <w:sz w:val="18"/>
                <w:szCs w:val="18"/>
              </w:rPr>
            </w:pPr>
            <w:r w:rsidRPr="003F234F">
              <w:rPr>
                <w:rFonts w:ascii="Verdana" w:hAnsi="Verdana"/>
                <w:b/>
                <w:i/>
                <w:sz w:val="18"/>
                <w:szCs w:val="18"/>
              </w:rPr>
              <w:t>Source of data</w:t>
            </w:r>
          </w:p>
        </w:tc>
        <w:tc>
          <w:tcPr>
            <w:tcW w:w="848" w:type="pct"/>
            <w:tcBorders>
              <w:top w:val="single" w:sz="4" w:space="0" w:color="auto"/>
              <w:left w:val="single" w:sz="4" w:space="0" w:color="auto"/>
              <w:bottom w:val="single" w:sz="4" w:space="0" w:color="auto"/>
              <w:right w:val="single" w:sz="4" w:space="0" w:color="auto"/>
            </w:tcBorders>
            <w:vAlign w:val="center"/>
          </w:tcPr>
          <w:p w:rsidR="00E21452" w:rsidRPr="003F234F" w:rsidRDefault="00E21452" w:rsidP="007E33E3">
            <w:pPr>
              <w:spacing w:before="120" w:after="120"/>
              <w:jc w:val="center"/>
              <w:rPr>
                <w:rFonts w:ascii="Verdana" w:hAnsi="Verdana"/>
                <w:b/>
                <w:i/>
                <w:sz w:val="18"/>
                <w:szCs w:val="18"/>
              </w:rPr>
            </w:pPr>
            <w:r w:rsidRPr="003F234F">
              <w:rPr>
                <w:rFonts w:ascii="Verdana" w:hAnsi="Verdana"/>
                <w:b/>
                <w:i/>
                <w:sz w:val="18"/>
                <w:szCs w:val="18"/>
              </w:rPr>
              <w:t>Explanation of the relevance of the indicator, where appropriate</w:t>
            </w:r>
          </w:p>
        </w:tc>
      </w:tr>
      <w:tr w:rsidR="00884E2A" w:rsidRPr="003F234F" w:rsidTr="003F234F">
        <w:trPr>
          <w:trHeight w:val="5271"/>
        </w:trPr>
        <w:tc>
          <w:tcPr>
            <w:tcW w:w="1043" w:type="pct"/>
            <w:tcBorders>
              <w:top w:val="single" w:sz="4" w:space="0" w:color="auto"/>
              <w:left w:val="single" w:sz="4" w:space="0" w:color="auto"/>
              <w:bottom w:val="single" w:sz="4" w:space="0" w:color="auto"/>
              <w:right w:val="single" w:sz="4" w:space="0" w:color="auto"/>
            </w:tcBorders>
          </w:tcPr>
          <w:p w:rsidR="00B01577" w:rsidRPr="003F234F" w:rsidRDefault="0032569E" w:rsidP="003B7BFA">
            <w:pPr>
              <w:spacing w:before="120"/>
              <w:rPr>
                <w:rFonts w:ascii="Verdana" w:hAnsi="Verdana"/>
                <w:i/>
                <w:sz w:val="18"/>
                <w:szCs w:val="18"/>
              </w:rPr>
            </w:pPr>
            <w:r w:rsidRPr="003F234F">
              <w:rPr>
                <w:rFonts w:ascii="Verdana" w:hAnsi="Verdana"/>
                <w:i/>
                <w:sz w:val="18"/>
                <w:szCs w:val="18"/>
              </w:rPr>
              <w:t xml:space="preserve"> </w:t>
            </w:r>
          </w:p>
          <w:p w:rsidR="00E21452" w:rsidRPr="003F234F" w:rsidRDefault="00185FF6" w:rsidP="003B7BFA">
            <w:pPr>
              <w:spacing w:before="120"/>
              <w:rPr>
                <w:rFonts w:ascii="Verdana" w:hAnsi="Verdana"/>
                <w:b/>
                <w:i/>
                <w:sz w:val="18"/>
                <w:szCs w:val="18"/>
              </w:rPr>
            </w:pPr>
            <w:r w:rsidRPr="003F234F">
              <w:rPr>
                <w:rFonts w:ascii="Verdana" w:hAnsi="Verdana"/>
                <w:b/>
                <w:i/>
                <w:sz w:val="18"/>
                <w:szCs w:val="18"/>
              </w:rPr>
              <w:t>1.</w:t>
            </w:r>
            <w:r w:rsidR="004F5F2B" w:rsidRPr="003F234F">
              <w:rPr>
                <w:rFonts w:ascii="Verdana" w:hAnsi="Verdana"/>
                <w:b/>
                <w:i/>
                <w:sz w:val="18"/>
                <w:szCs w:val="18"/>
              </w:rPr>
              <w:t xml:space="preserve"> 1 Urban practitioners in cities have increased their knowledge and capacity in relation to integrated approaches to sustainable development; they are more able to respond to changing circumstances, working with all stakeholders, using new organisational models and tools</w:t>
            </w:r>
          </w:p>
        </w:tc>
        <w:tc>
          <w:tcPr>
            <w:tcW w:w="920" w:type="pct"/>
            <w:tcBorders>
              <w:top w:val="single" w:sz="4" w:space="0" w:color="auto"/>
              <w:left w:val="single" w:sz="4" w:space="0" w:color="auto"/>
              <w:bottom w:val="single" w:sz="4" w:space="0" w:color="auto"/>
              <w:right w:val="single" w:sz="4" w:space="0" w:color="auto"/>
            </w:tcBorders>
          </w:tcPr>
          <w:p w:rsidR="001769A5" w:rsidRPr="003F234F" w:rsidRDefault="0032569E" w:rsidP="003B7BFA">
            <w:pPr>
              <w:spacing w:before="120"/>
              <w:rPr>
                <w:rFonts w:ascii="Verdana" w:hAnsi="Verdana"/>
                <w:i/>
                <w:sz w:val="18"/>
                <w:szCs w:val="18"/>
              </w:rPr>
            </w:pPr>
            <w:r w:rsidRPr="003F234F">
              <w:rPr>
                <w:rFonts w:ascii="Verdana" w:hAnsi="Verdana"/>
                <w:i/>
                <w:sz w:val="18"/>
                <w:szCs w:val="18"/>
              </w:rPr>
              <w:t>Number of participants</w:t>
            </w:r>
          </w:p>
        </w:tc>
        <w:tc>
          <w:tcPr>
            <w:tcW w:w="705" w:type="pct"/>
            <w:tcBorders>
              <w:top w:val="single" w:sz="4" w:space="0" w:color="auto"/>
              <w:left w:val="single" w:sz="4" w:space="0" w:color="auto"/>
              <w:bottom w:val="single" w:sz="4" w:space="0" w:color="auto"/>
              <w:right w:val="single" w:sz="4" w:space="0" w:color="auto"/>
            </w:tcBorders>
          </w:tcPr>
          <w:p w:rsidR="00884E2A" w:rsidRPr="003F234F" w:rsidRDefault="00E63C1B" w:rsidP="003B7BFA">
            <w:pPr>
              <w:spacing w:before="120" w:after="120"/>
              <w:ind w:right="566"/>
              <w:rPr>
                <w:rFonts w:ascii="Verdana" w:hAnsi="Verdana"/>
                <w:i/>
                <w:sz w:val="18"/>
                <w:szCs w:val="18"/>
              </w:rPr>
            </w:pPr>
            <w:r w:rsidRPr="003F234F">
              <w:rPr>
                <w:rFonts w:ascii="Verdana" w:hAnsi="Verdana"/>
                <w:i/>
                <w:sz w:val="18"/>
                <w:szCs w:val="18"/>
              </w:rPr>
              <w:t>6</w:t>
            </w:r>
            <w:r w:rsidR="00884E2A" w:rsidRPr="003F234F">
              <w:rPr>
                <w:rFonts w:ascii="Verdana" w:hAnsi="Verdana"/>
                <w:i/>
                <w:sz w:val="18"/>
                <w:szCs w:val="18"/>
              </w:rPr>
              <w:t>00</w:t>
            </w:r>
          </w:p>
          <w:p w:rsidR="00884E2A" w:rsidRPr="003F234F" w:rsidRDefault="00884E2A" w:rsidP="003B7BFA">
            <w:pPr>
              <w:spacing w:before="120" w:after="120"/>
              <w:ind w:right="566"/>
              <w:rPr>
                <w:rFonts w:ascii="Verdana" w:hAnsi="Verdana"/>
                <w:i/>
                <w:sz w:val="18"/>
                <w:szCs w:val="18"/>
              </w:rPr>
            </w:pPr>
          </w:p>
        </w:tc>
        <w:tc>
          <w:tcPr>
            <w:tcW w:w="495" w:type="pct"/>
            <w:tcBorders>
              <w:top w:val="single" w:sz="4" w:space="0" w:color="auto"/>
              <w:left w:val="single" w:sz="4" w:space="0" w:color="auto"/>
              <w:bottom w:val="single" w:sz="4" w:space="0" w:color="auto"/>
              <w:right w:val="single" w:sz="4" w:space="0" w:color="auto"/>
            </w:tcBorders>
          </w:tcPr>
          <w:p w:rsidR="001769A5" w:rsidRPr="003F234F" w:rsidRDefault="0032569E" w:rsidP="003B7BFA">
            <w:pPr>
              <w:spacing w:before="120"/>
              <w:rPr>
                <w:rFonts w:ascii="Verdana" w:hAnsi="Verdana"/>
                <w:i/>
                <w:sz w:val="18"/>
                <w:szCs w:val="18"/>
              </w:rPr>
            </w:pPr>
            <w:r w:rsidRPr="003F234F">
              <w:rPr>
                <w:rFonts w:ascii="Verdana" w:hAnsi="Verdana"/>
                <w:i/>
                <w:sz w:val="18"/>
                <w:szCs w:val="18"/>
              </w:rPr>
              <w:t>1800</w:t>
            </w:r>
          </w:p>
        </w:tc>
        <w:tc>
          <w:tcPr>
            <w:tcW w:w="989" w:type="pct"/>
            <w:tcBorders>
              <w:top w:val="single" w:sz="4" w:space="0" w:color="auto"/>
              <w:left w:val="single" w:sz="4" w:space="0" w:color="auto"/>
              <w:bottom w:val="single" w:sz="4" w:space="0" w:color="auto"/>
              <w:right w:val="single" w:sz="4" w:space="0" w:color="auto"/>
            </w:tcBorders>
          </w:tcPr>
          <w:p w:rsidR="00E21452" w:rsidRPr="003F234F" w:rsidRDefault="0032569E" w:rsidP="003B7BFA">
            <w:pPr>
              <w:spacing w:before="120" w:after="120"/>
              <w:ind w:right="566"/>
              <w:rPr>
                <w:rFonts w:ascii="Verdana" w:hAnsi="Verdana"/>
                <w:b/>
                <w:i/>
                <w:sz w:val="18"/>
                <w:szCs w:val="18"/>
              </w:rPr>
            </w:pPr>
            <w:r w:rsidRPr="003F234F">
              <w:rPr>
                <w:rFonts w:ascii="Verdana" w:hAnsi="Verdana"/>
                <w:i/>
                <w:sz w:val="18"/>
                <w:szCs w:val="18"/>
              </w:rPr>
              <w:t>Standardised self-assessment of individuals involved in all 3 types of networks and capacity-building actions for each round of networks</w:t>
            </w:r>
          </w:p>
        </w:tc>
        <w:tc>
          <w:tcPr>
            <w:tcW w:w="848" w:type="pct"/>
            <w:tcBorders>
              <w:top w:val="single" w:sz="4" w:space="0" w:color="auto"/>
              <w:left w:val="single" w:sz="4" w:space="0" w:color="auto"/>
              <w:bottom w:val="single" w:sz="4" w:space="0" w:color="auto"/>
              <w:right w:val="single" w:sz="4" w:space="0" w:color="auto"/>
            </w:tcBorders>
          </w:tcPr>
          <w:p w:rsidR="00E21452" w:rsidRPr="003F234F" w:rsidRDefault="001D6B10" w:rsidP="003B7BFA">
            <w:pPr>
              <w:spacing w:before="120" w:after="120"/>
              <w:ind w:right="-108"/>
              <w:rPr>
                <w:rFonts w:ascii="Verdana" w:hAnsi="Verdana"/>
                <w:i/>
                <w:sz w:val="18"/>
                <w:szCs w:val="18"/>
              </w:rPr>
            </w:pPr>
            <w:r w:rsidRPr="003F234F">
              <w:rPr>
                <w:rFonts w:ascii="Verdana" w:hAnsi="Verdana"/>
                <w:i/>
                <w:sz w:val="18"/>
                <w:szCs w:val="18"/>
              </w:rPr>
              <w:t xml:space="preserve">Capacity building is a key target of URBACT under </w:t>
            </w:r>
            <w:r w:rsidR="00CD42DD" w:rsidRPr="003F234F">
              <w:rPr>
                <w:rFonts w:ascii="Verdana" w:hAnsi="Verdana"/>
                <w:color w:val="000000"/>
                <w:sz w:val="18"/>
                <w:szCs w:val="18"/>
              </w:rPr>
              <w:t>objective 11 ‘Enhancing institutional capacity and efficient public administration’</w:t>
            </w:r>
          </w:p>
        </w:tc>
      </w:tr>
      <w:tr w:rsidR="00884E2A" w:rsidRPr="003F234F" w:rsidTr="00884E2A">
        <w:trPr>
          <w:trHeight w:val="420"/>
        </w:trPr>
        <w:tc>
          <w:tcPr>
            <w:tcW w:w="1043" w:type="pct"/>
            <w:tcBorders>
              <w:top w:val="single" w:sz="4" w:space="0" w:color="auto"/>
              <w:left w:val="single" w:sz="4" w:space="0" w:color="auto"/>
              <w:bottom w:val="single" w:sz="4" w:space="0" w:color="auto"/>
              <w:right w:val="single" w:sz="4" w:space="0" w:color="auto"/>
            </w:tcBorders>
          </w:tcPr>
          <w:p w:rsidR="0032569E" w:rsidRPr="003F234F" w:rsidRDefault="00B01577" w:rsidP="003B7BFA">
            <w:pPr>
              <w:spacing w:before="120"/>
              <w:rPr>
                <w:rFonts w:ascii="Verdana" w:hAnsi="Verdana"/>
                <w:b/>
                <w:i/>
                <w:sz w:val="18"/>
                <w:szCs w:val="18"/>
              </w:rPr>
            </w:pPr>
            <w:r w:rsidRPr="003F234F">
              <w:rPr>
                <w:rFonts w:ascii="Verdana" w:hAnsi="Verdana"/>
                <w:b/>
                <w:i/>
                <w:sz w:val="18"/>
                <w:szCs w:val="18"/>
              </w:rPr>
              <w:t>2.</w:t>
            </w:r>
            <w:r w:rsidR="0032569E" w:rsidRPr="003F234F">
              <w:rPr>
                <w:rFonts w:ascii="Verdana" w:hAnsi="Verdana"/>
                <w:b/>
                <w:i/>
                <w:sz w:val="18"/>
                <w:szCs w:val="18"/>
              </w:rPr>
              <w:t xml:space="preserve">Number of cities </w:t>
            </w:r>
            <w:r w:rsidR="004F5F2B" w:rsidRPr="003F234F">
              <w:rPr>
                <w:rFonts w:ascii="Verdana" w:hAnsi="Verdana"/>
                <w:b/>
                <w:i/>
                <w:sz w:val="18"/>
                <w:szCs w:val="18"/>
              </w:rPr>
              <w:t xml:space="preserve">that have </w:t>
            </w:r>
            <w:r w:rsidR="0032569E" w:rsidRPr="003F234F">
              <w:rPr>
                <w:rFonts w:ascii="Verdana" w:hAnsi="Verdana"/>
                <w:b/>
                <w:i/>
                <w:sz w:val="18"/>
                <w:szCs w:val="18"/>
              </w:rPr>
              <w:t>produced integrated strat</w:t>
            </w:r>
            <w:r w:rsidR="003F234F">
              <w:rPr>
                <w:rFonts w:ascii="Verdana" w:hAnsi="Verdana"/>
                <w:b/>
                <w:i/>
                <w:sz w:val="18"/>
                <w:szCs w:val="18"/>
              </w:rPr>
              <w:t xml:space="preserve">egies and action plans </w:t>
            </w:r>
            <w:r w:rsidR="0032569E" w:rsidRPr="003F234F">
              <w:rPr>
                <w:rFonts w:ascii="Verdana" w:hAnsi="Verdana"/>
                <w:b/>
                <w:i/>
                <w:sz w:val="18"/>
                <w:szCs w:val="18"/>
              </w:rPr>
              <w:t>with the URBACT method</w:t>
            </w:r>
          </w:p>
          <w:p w:rsidR="00E21452" w:rsidRPr="003F234F" w:rsidRDefault="00E21452" w:rsidP="003B7BFA">
            <w:pPr>
              <w:spacing w:before="120" w:after="120"/>
              <w:ind w:right="566"/>
              <w:rPr>
                <w:rFonts w:ascii="Verdana" w:hAnsi="Verdana"/>
                <w:b/>
                <w:i/>
                <w:sz w:val="18"/>
                <w:szCs w:val="18"/>
              </w:rPr>
            </w:pPr>
          </w:p>
        </w:tc>
        <w:tc>
          <w:tcPr>
            <w:tcW w:w="920" w:type="pct"/>
            <w:tcBorders>
              <w:top w:val="single" w:sz="4" w:space="0" w:color="auto"/>
              <w:left w:val="single" w:sz="4" w:space="0" w:color="auto"/>
              <w:bottom w:val="single" w:sz="4" w:space="0" w:color="auto"/>
              <w:right w:val="single" w:sz="4" w:space="0" w:color="auto"/>
            </w:tcBorders>
          </w:tcPr>
          <w:p w:rsidR="00E21452" w:rsidRPr="003F234F" w:rsidRDefault="0032569E" w:rsidP="003B7BFA">
            <w:pPr>
              <w:spacing w:before="120" w:after="120"/>
              <w:ind w:right="566"/>
              <w:rPr>
                <w:rFonts w:ascii="Verdana" w:hAnsi="Verdana"/>
                <w:b/>
                <w:i/>
                <w:sz w:val="18"/>
                <w:szCs w:val="18"/>
              </w:rPr>
            </w:pPr>
            <w:r w:rsidRPr="003F234F">
              <w:rPr>
                <w:rFonts w:ascii="Verdana" w:hAnsi="Verdana"/>
                <w:i/>
                <w:sz w:val="18"/>
                <w:szCs w:val="18"/>
              </w:rPr>
              <w:t>Number of cities having produced integrated strategies and action plans with the URBACT method</w:t>
            </w:r>
          </w:p>
        </w:tc>
        <w:tc>
          <w:tcPr>
            <w:tcW w:w="705" w:type="pct"/>
            <w:tcBorders>
              <w:top w:val="single" w:sz="4" w:space="0" w:color="auto"/>
              <w:left w:val="single" w:sz="4" w:space="0" w:color="auto"/>
              <w:bottom w:val="single" w:sz="4" w:space="0" w:color="auto"/>
              <w:right w:val="single" w:sz="4" w:space="0" w:color="auto"/>
            </w:tcBorders>
          </w:tcPr>
          <w:p w:rsidR="00CF4C08" w:rsidRPr="003F234F" w:rsidRDefault="00E63C1B" w:rsidP="003B7BFA">
            <w:pPr>
              <w:spacing w:before="120" w:after="120"/>
              <w:ind w:right="566"/>
              <w:rPr>
                <w:rFonts w:ascii="Verdana" w:hAnsi="Verdana"/>
                <w:i/>
                <w:sz w:val="18"/>
                <w:szCs w:val="18"/>
              </w:rPr>
            </w:pPr>
            <w:r w:rsidRPr="003F234F">
              <w:rPr>
                <w:rFonts w:ascii="Verdana" w:hAnsi="Verdana"/>
                <w:i/>
                <w:sz w:val="18"/>
                <w:szCs w:val="18"/>
              </w:rPr>
              <w:t>70</w:t>
            </w:r>
            <w:r w:rsidR="00CF4C08" w:rsidRPr="003F234F">
              <w:rPr>
                <w:rFonts w:ascii="Verdana" w:hAnsi="Verdana"/>
                <w:i/>
                <w:sz w:val="18"/>
                <w:szCs w:val="18"/>
              </w:rPr>
              <w:t xml:space="preserve"> </w:t>
            </w:r>
          </w:p>
          <w:p w:rsidR="00E21452" w:rsidRPr="003F234F" w:rsidRDefault="00E21452" w:rsidP="003B7BFA">
            <w:pPr>
              <w:spacing w:before="120" w:after="120"/>
              <w:ind w:right="566"/>
              <w:rPr>
                <w:rFonts w:ascii="Verdana" w:hAnsi="Verdana"/>
                <w:i/>
                <w:sz w:val="18"/>
                <w:szCs w:val="18"/>
              </w:rPr>
            </w:pPr>
          </w:p>
        </w:tc>
        <w:tc>
          <w:tcPr>
            <w:tcW w:w="495" w:type="pct"/>
            <w:tcBorders>
              <w:top w:val="single" w:sz="4" w:space="0" w:color="auto"/>
              <w:left w:val="single" w:sz="4" w:space="0" w:color="auto"/>
              <w:bottom w:val="single" w:sz="4" w:space="0" w:color="auto"/>
              <w:right w:val="single" w:sz="4" w:space="0" w:color="auto"/>
            </w:tcBorders>
          </w:tcPr>
          <w:p w:rsidR="0032569E" w:rsidRPr="003F234F" w:rsidRDefault="0032569E" w:rsidP="003B7BFA">
            <w:pPr>
              <w:spacing w:before="120"/>
              <w:rPr>
                <w:rFonts w:ascii="Verdana" w:hAnsi="Verdana"/>
                <w:i/>
                <w:sz w:val="18"/>
                <w:szCs w:val="18"/>
              </w:rPr>
            </w:pPr>
            <w:r w:rsidRPr="003F234F">
              <w:rPr>
                <w:rFonts w:ascii="Verdana" w:hAnsi="Verdana"/>
                <w:i/>
                <w:sz w:val="18"/>
                <w:szCs w:val="18"/>
              </w:rPr>
              <w:t>220 cities</w:t>
            </w:r>
          </w:p>
          <w:p w:rsidR="00E21452" w:rsidRPr="003F234F" w:rsidRDefault="00E21452" w:rsidP="003B7BFA">
            <w:pPr>
              <w:spacing w:before="120" w:after="120"/>
              <w:ind w:right="566"/>
              <w:rPr>
                <w:rFonts w:ascii="Verdana" w:hAnsi="Verdana"/>
                <w:i/>
                <w:sz w:val="18"/>
                <w:szCs w:val="18"/>
              </w:rPr>
            </w:pPr>
          </w:p>
        </w:tc>
        <w:tc>
          <w:tcPr>
            <w:tcW w:w="989" w:type="pct"/>
            <w:tcBorders>
              <w:top w:val="single" w:sz="4" w:space="0" w:color="auto"/>
              <w:left w:val="single" w:sz="4" w:space="0" w:color="auto"/>
              <w:bottom w:val="single" w:sz="4" w:space="0" w:color="auto"/>
              <w:right w:val="single" w:sz="4" w:space="0" w:color="auto"/>
            </w:tcBorders>
          </w:tcPr>
          <w:p w:rsidR="00E21452" w:rsidRPr="003F234F" w:rsidRDefault="004F5F2B" w:rsidP="003B7BFA">
            <w:pPr>
              <w:spacing w:before="120" w:after="120"/>
              <w:ind w:right="566"/>
              <w:rPr>
                <w:rFonts w:ascii="Verdana" w:hAnsi="Verdana"/>
                <w:b/>
                <w:i/>
                <w:sz w:val="18"/>
                <w:szCs w:val="18"/>
              </w:rPr>
            </w:pPr>
            <w:r w:rsidRPr="003F234F">
              <w:rPr>
                <w:rFonts w:ascii="Verdana" w:hAnsi="Verdana"/>
                <w:i/>
                <w:sz w:val="18"/>
                <w:szCs w:val="18"/>
              </w:rPr>
              <w:t>Self-assessment</w:t>
            </w:r>
            <w:r w:rsidR="0032569E" w:rsidRPr="003F234F">
              <w:rPr>
                <w:rFonts w:ascii="Verdana" w:hAnsi="Verdana"/>
                <w:i/>
                <w:sz w:val="18"/>
                <w:szCs w:val="18"/>
              </w:rPr>
              <w:t xml:space="preserve"> check by network coordinator in partner city, based on integration questions</w:t>
            </w:r>
          </w:p>
        </w:tc>
        <w:tc>
          <w:tcPr>
            <w:tcW w:w="848" w:type="pct"/>
            <w:tcBorders>
              <w:top w:val="single" w:sz="4" w:space="0" w:color="auto"/>
              <w:left w:val="single" w:sz="4" w:space="0" w:color="auto"/>
              <w:bottom w:val="single" w:sz="4" w:space="0" w:color="auto"/>
              <w:right w:val="single" w:sz="4" w:space="0" w:color="auto"/>
            </w:tcBorders>
          </w:tcPr>
          <w:p w:rsidR="00E21452" w:rsidRPr="003F234F" w:rsidRDefault="00884E2A" w:rsidP="003B7BFA">
            <w:pPr>
              <w:spacing w:before="120" w:after="120"/>
              <w:ind w:right="-108"/>
              <w:rPr>
                <w:rFonts w:ascii="Verdana" w:hAnsi="Verdana"/>
                <w:i/>
                <w:sz w:val="18"/>
                <w:szCs w:val="18"/>
              </w:rPr>
            </w:pPr>
            <w:r w:rsidRPr="003F234F">
              <w:rPr>
                <w:rFonts w:ascii="Verdana" w:hAnsi="Verdana"/>
                <w:i/>
                <w:sz w:val="18"/>
                <w:szCs w:val="18"/>
              </w:rPr>
              <w:t>The production of Integrated Local Action Plans is a basis for a quality implementation of urban strategies on the ground</w:t>
            </w:r>
          </w:p>
        </w:tc>
      </w:tr>
    </w:tbl>
    <w:p w:rsidR="00540CF1" w:rsidRPr="004F5F2B" w:rsidRDefault="00B01577" w:rsidP="00E21452">
      <w:pPr>
        <w:ind w:right="566"/>
        <w:jc w:val="both"/>
        <w:rPr>
          <w:rFonts w:ascii="Verdana" w:hAnsi="Verdana"/>
          <w:b/>
        </w:rPr>
      </w:pPr>
      <w:r w:rsidRPr="004F5F2B">
        <w:rPr>
          <w:rFonts w:ascii="Verdana" w:hAnsi="Verdana"/>
          <w:b/>
          <w:vanish/>
        </w:rPr>
        <w:cr/>
      </w:r>
    </w:p>
    <w:p w:rsidR="00540CF1" w:rsidRPr="004F5F2B" w:rsidRDefault="00540CF1" w:rsidP="00E21452">
      <w:pPr>
        <w:ind w:right="566"/>
        <w:jc w:val="both"/>
        <w:rPr>
          <w:rFonts w:ascii="Verdana" w:hAnsi="Verdana"/>
          <w:b/>
        </w:rPr>
      </w:pPr>
    </w:p>
    <w:p w:rsidR="00E21452" w:rsidRPr="004F5F2B" w:rsidRDefault="00E21452" w:rsidP="00E21452">
      <w:pPr>
        <w:ind w:right="566"/>
        <w:jc w:val="both"/>
        <w:rPr>
          <w:rFonts w:ascii="Verdana" w:hAnsi="Verdana"/>
        </w:rPr>
      </w:pPr>
    </w:p>
    <w:p w:rsidR="003F234F" w:rsidRDefault="003F234F">
      <w:pPr>
        <w:rPr>
          <w:rFonts w:ascii="Verdana" w:eastAsia="Calibri" w:hAnsi="Verdana"/>
          <w:b/>
          <w:bCs/>
        </w:rPr>
      </w:pPr>
      <w:bookmarkStart w:id="19" w:name="_Toc381007251"/>
      <w:r>
        <w:br w:type="page"/>
      </w:r>
    </w:p>
    <w:p w:rsidR="00E21452" w:rsidRPr="004F5F2B" w:rsidRDefault="00E21452" w:rsidP="003E5F27">
      <w:pPr>
        <w:pStyle w:val="2"/>
      </w:pPr>
      <w:bookmarkStart w:id="20" w:name="_Toc384648443"/>
      <w:r w:rsidRPr="004F5F2B">
        <w:t>2.A.</w:t>
      </w:r>
      <w:r w:rsidR="00C4264F" w:rsidRPr="004F5F2B">
        <w:t>5</w:t>
      </w:r>
      <w:r w:rsidRPr="004F5F2B">
        <w:t xml:space="preserve"> </w:t>
      </w:r>
      <w:r w:rsidR="00A97643">
        <w:tab/>
      </w:r>
      <w:r w:rsidRPr="004F5F2B">
        <w:t>Categories of Intervention (Article 7(2) (c) (v) ETC Regulation.</w:t>
      </w:r>
      <w:bookmarkEnd w:id="19"/>
      <w:bookmarkEnd w:id="20"/>
    </w:p>
    <w:p w:rsidR="00E21452" w:rsidRPr="007E33E3" w:rsidRDefault="00E21452" w:rsidP="003E5F27">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3016"/>
        <w:gridCol w:w="3189"/>
      </w:tblGrid>
      <w:tr w:rsidR="00E21452" w:rsidRPr="007E33E3" w:rsidTr="00DA4B46">
        <w:tc>
          <w:tcPr>
            <w:tcW w:w="10384" w:type="dxa"/>
            <w:gridSpan w:val="3"/>
          </w:tcPr>
          <w:p w:rsidR="00E21452" w:rsidRPr="007E33E3" w:rsidRDefault="00E21452" w:rsidP="00E21452">
            <w:pPr>
              <w:ind w:right="566"/>
              <w:jc w:val="both"/>
              <w:rPr>
                <w:rFonts w:ascii="Verdana" w:hAnsi="Verdana"/>
                <w:b/>
                <w:sz w:val="22"/>
                <w:szCs w:val="22"/>
              </w:rPr>
            </w:pPr>
            <w:r w:rsidRPr="007E33E3">
              <w:rPr>
                <w:rFonts w:ascii="Verdana" w:hAnsi="Verdana"/>
                <w:b/>
                <w:sz w:val="22"/>
                <w:szCs w:val="22"/>
              </w:rPr>
              <w:t>Table 12 Dimension 1 Intervention Field</w:t>
            </w:r>
          </w:p>
        </w:tc>
      </w:tr>
      <w:tr w:rsidR="00E21452" w:rsidRPr="007E33E3" w:rsidTr="00DA4B46">
        <w:tc>
          <w:tcPr>
            <w:tcW w:w="3461" w:type="dxa"/>
          </w:tcPr>
          <w:p w:rsidR="00E21452" w:rsidRPr="007E33E3" w:rsidRDefault="00E21452" w:rsidP="00E21452">
            <w:pPr>
              <w:ind w:right="566"/>
              <w:jc w:val="both"/>
              <w:rPr>
                <w:rFonts w:ascii="Verdana" w:hAnsi="Verdana"/>
                <w:b/>
                <w:sz w:val="22"/>
                <w:szCs w:val="22"/>
              </w:rPr>
            </w:pPr>
            <w:r w:rsidRPr="007E33E3">
              <w:rPr>
                <w:rFonts w:ascii="Verdana" w:hAnsi="Verdana"/>
                <w:b/>
                <w:sz w:val="22"/>
                <w:szCs w:val="22"/>
              </w:rPr>
              <w:t>Priority Axis</w:t>
            </w:r>
          </w:p>
        </w:tc>
        <w:tc>
          <w:tcPr>
            <w:tcW w:w="3461" w:type="dxa"/>
          </w:tcPr>
          <w:p w:rsidR="00E21452" w:rsidRPr="007E33E3" w:rsidRDefault="00E21452" w:rsidP="00E21452">
            <w:pPr>
              <w:ind w:right="566"/>
              <w:jc w:val="both"/>
              <w:rPr>
                <w:rFonts w:ascii="Verdana" w:hAnsi="Verdana"/>
                <w:b/>
                <w:sz w:val="22"/>
                <w:szCs w:val="22"/>
              </w:rPr>
            </w:pPr>
            <w:r w:rsidRPr="007E33E3">
              <w:rPr>
                <w:rFonts w:ascii="Verdana" w:hAnsi="Verdana"/>
                <w:b/>
                <w:sz w:val="22"/>
                <w:szCs w:val="22"/>
              </w:rPr>
              <w:t>Code</w:t>
            </w:r>
          </w:p>
        </w:tc>
        <w:tc>
          <w:tcPr>
            <w:tcW w:w="3462" w:type="dxa"/>
          </w:tcPr>
          <w:p w:rsidR="00E21452" w:rsidRPr="007E33E3" w:rsidRDefault="00E21452" w:rsidP="00E21452">
            <w:pPr>
              <w:ind w:right="566"/>
              <w:jc w:val="both"/>
              <w:rPr>
                <w:rFonts w:ascii="Verdana" w:hAnsi="Verdana"/>
                <w:b/>
                <w:sz w:val="22"/>
                <w:szCs w:val="22"/>
              </w:rPr>
            </w:pPr>
            <w:r w:rsidRPr="007E33E3">
              <w:rPr>
                <w:rFonts w:ascii="Verdana" w:hAnsi="Verdana"/>
                <w:b/>
                <w:sz w:val="22"/>
                <w:szCs w:val="22"/>
              </w:rPr>
              <w:t>€ EU support</w:t>
            </w:r>
          </w:p>
        </w:tc>
      </w:tr>
      <w:tr w:rsidR="00E21452" w:rsidRPr="007E33E3" w:rsidTr="00DA4B46">
        <w:tc>
          <w:tcPr>
            <w:tcW w:w="3461" w:type="dxa"/>
          </w:tcPr>
          <w:p w:rsidR="00E21452" w:rsidRPr="007E33E3" w:rsidRDefault="00E21452" w:rsidP="00E21452">
            <w:pPr>
              <w:ind w:right="566"/>
              <w:jc w:val="both"/>
              <w:rPr>
                <w:rFonts w:ascii="Verdana" w:hAnsi="Verdana"/>
                <w:sz w:val="22"/>
                <w:szCs w:val="22"/>
              </w:rPr>
            </w:pPr>
            <w:r w:rsidRPr="007E33E3">
              <w:rPr>
                <w:rFonts w:ascii="Verdana" w:hAnsi="Verdana"/>
                <w:sz w:val="22"/>
                <w:szCs w:val="22"/>
              </w:rPr>
              <w:t>PA 1</w:t>
            </w:r>
          </w:p>
        </w:tc>
        <w:tc>
          <w:tcPr>
            <w:tcW w:w="3461" w:type="dxa"/>
          </w:tcPr>
          <w:p w:rsidR="00E21452" w:rsidRPr="007E33E3" w:rsidRDefault="00E21452" w:rsidP="00E21452">
            <w:pPr>
              <w:ind w:right="566"/>
              <w:jc w:val="both"/>
              <w:rPr>
                <w:rFonts w:ascii="Verdana" w:hAnsi="Verdana"/>
                <w:sz w:val="22"/>
                <w:szCs w:val="22"/>
              </w:rPr>
            </w:pPr>
            <w:r w:rsidRPr="007E33E3">
              <w:rPr>
                <w:rFonts w:ascii="Verdana" w:hAnsi="Verdana"/>
                <w:sz w:val="22"/>
                <w:szCs w:val="22"/>
              </w:rPr>
              <w:t>118</w:t>
            </w:r>
          </w:p>
        </w:tc>
        <w:tc>
          <w:tcPr>
            <w:tcW w:w="3462" w:type="dxa"/>
          </w:tcPr>
          <w:p w:rsidR="00E21452" w:rsidRPr="007E33E3" w:rsidRDefault="00E21452" w:rsidP="00E21452">
            <w:pPr>
              <w:ind w:right="566"/>
              <w:jc w:val="both"/>
              <w:rPr>
                <w:rFonts w:ascii="Verdana" w:hAnsi="Verdana"/>
                <w:sz w:val="22"/>
                <w:szCs w:val="22"/>
              </w:rPr>
            </w:pPr>
            <w:r w:rsidRPr="007E33E3">
              <w:rPr>
                <w:rFonts w:ascii="Verdana" w:hAnsi="Verdana"/>
                <w:sz w:val="22"/>
                <w:szCs w:val="22"/>
              </w:rPr>
              <w:t>69 843 880€</w:t>
            </w:r>
          </w:p>
        </w:tc>
      </w:tr>
    </w:tbl>
    <w:p w:rsidR="00E21452" w:rsidRPr="007E33E3" w:rsidRDefault="00E21452" w:rsidP="00E21452">
      <w:pPr>
        <w:ind w:right="566"/>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3016"/>
        <w:gridCol w:w="3189"/>
      </w:tblGrid>
      <w:tr w:rsidR="00E21452" w:rsidRPr="007E33E3" w:rsidTr="00DA4B46">
        <w:tc>
          <w:tcPr>
            <w:tcW w:w="10384" w:type="dxa"/>
            <w:gridSpan w:val="3"/>
          </w:tcPr>
          <w:p w:rsidR="00E21452" w:rsidRPr="007E33E3" w:rsidRDefault="00364438" w:rsidP="00E21452">
            <w:pPr>
              <w:ind w:right="566"/>
              <w:jc w:val="both"/>
              <w:rPr>
                <w:rFonts w:ascii="Verdana" w:hAnsi="Verdana"/>
                <w:b/>
                <w:sz w:val="22"/>
                <w:szCs w:val="22"/>
              </w:rPr>
            </w:pPr>
            <w:r w:rsidRPr="007E33E3">
              <w:rPr>
                <w:rFonts w:ascii="Verdana" w:hAnsi="Verdana"/>
                <w:b/>
                <w:sz w:val="22"/>
                <w:szCs w:val="22"/>
              </w:rPr>
              <w:t>Table 13 Dimension 2 Form of Finance</w:t>
            </w:r>
          </w:p>
        </w:tc>
      </w:tr>
      <w:tr w:rsidR="00E21452" w:rsidRPr="007E33E3" w:rsidTr="00DA4B46">
        <w:tc>
          <w:tcPr>
            <w:tcW w:w="3461" w:type="dxa"/>
          </w:tcPr>
          <w:p w:rsidR="00E21452" w:rsidRPr="007E33E3" w:rsidRDefault="00E21452" w:rsidP="00E21452">
            <w:pPr>
              <w:ind w:right="566"/>
              <w:jc w:val="both"/>
              <w:rPr>
                <w:rFonts w:ascii="Verdana" w:hAnsi="Verdana"/>
                <w:b/>
                <w:sz w:val="22"/>
                <w:szCs w:val="22"/>
              </w:rPr>
            </w:pPr>
            <w:r w:rsidRPr="007E33E3">
              <w:rPr>
                <w:rFonts w:ascii="Verdana" w:hAnsi="Verdana"/>
                <w:b/>
                <w:sz w:val="22"/>
                <w:szCs w:val="22"/>
              </w:rPr>
              <w:t>Priority Axis</w:t>
            </w:r>
          </w:p>
        </w:tc>
        <w:tc>
          <w:tcPr>
            <w:tcW w:w="3461" w:type="dxa"/>
          </w:tcPr>
          <w:p w:rsidR="00E21452" w:rsidRPr="007E33E3" w:rsidRDefault="00E21452" w:rsidP="00E21452">
            <w:pPr>
              <w:ind w:right="566"/>
              <w:jc w:val="both"/>
              <w:rPr>
                <w:rFonts w:ascii="Verdana" w:hAnsi="Verdana"/>
                <w:b/>
                <w:sz w:val="22"/>
                <w:szCs w:val="22"/>
              </w:rPr>
            </w:pPr>
            <w:r w:rsidRPr="007E33E3">
              <w:rPr>
                <w:rFonts w:ascii="Verdana" w:hAnsi="Verdana"/>
                <w:b/>
                <w:sz w:val="22"/>
                <w:szCs w:val="22"/>
              </w:rPr>
              <w:t>Code</w:t>
            </w:r>
          </w:p>
        </w:tc>
        <w:tc>
          <w:tcPr>
            <w:tcW w:w="3462" w:type="dxa"/>
          </w:tcPr>
          <w:p w:rsidR="00E21452" w:rsidRPr="007E33E3" w:rsidRDefault="00E21452" w:rsidP="00E21452">
            <w:pPr>
              <w:ind w:right="566"/>
              <w:jc w:val="both"/>
              <w:rPr>
                <w:rFonts w:ascii="Verdana" w:hAnsi="Verdana"/>
                <w:b/>
                <w:sz w:val="22"/>
                <w:szCs w:val="22"/>
              </w:rPr>
            </w:pPr>
            <w:r w:rsidRPr="007E33E3">
              <w:rPr>
                <w:rFonts w:ascii="Verdana" w:hAnsi="Verdana"/>
                <w:b/>
                <w:sz w:val="22"/>
                <w:szCs w:val="22"/>
              </w:rPr>
              <w:t>€ EU support</w:t>
            </w:r>
          </w:p>
        </w:tc>
      </w:tr>
      <w:tr w:rsidR="00E21452" w:rsidRPr="007E33E3" w:rsidTr="00DA4B46">
        <w:tc>
          <w:tcPr>
            <w:tcW w:w="3461" w:type="dxa"/>
          </w:tcPr>
          <w:p w:rsidR="00E21452" w:rsidRPr="007E33E3" w:rsidRDefault="00E21452" w:rsidP="00E21452">
            <w:pPr>
              <w:ind w:right="566"/>
              <w:jc w:val="both"/>
              <w:rPr>
                <w:rFonts w:ascii="Verdana" w:hAnsi="Verdana"/>
                <w:sz w:val="22"/>
                <w:szCs w:val="22"/>
              </w:rPr>
            </w:pPr>
            <w:r w:rsidRPr="007E33E3">
              <w:rPr>
                <w:rFonts w:ascii="Verdana" w:hAnsi="Verdana"/>
                <w:sz w:val="22"/>
                <w:szCs w:val="22"/>
              </w:rPr>
              <w:t>PA 1</w:t>
            </w:r>
          </w:p>
        </w:tc>
        <w:tc>
          <w:tcPr>
            <w:tcW w:w="3461" w:type="dxa"/>
          </w:tcPr>
          <w:p w:rsidR="00E21452" w:rsidRPr="007E33E3" w:rsidRDefault="00E21452" w:rsidP="00E21452">
            <w:pPr>
              <w:ind w:right="566"/>
              <w:jc w:val="both"/>
              <w:rPr>
                <w:rFonts w:ascii="Verdana" w:hAnsi="Verdana"/>
                <w:sz w:val="22"/>
                <w:szCs w:val="22"/>
              </w:rPr>
            </w:pPr>
            <w:r w:rsidRPr="007E33E3">
              <w:rPr>
                <w:rFonts w:ascii="Verdana" w:hAnsi="Verdana"/>
                <w:sz w:val="22"/>
                <w:szCs w:val="22"/>
              </w:rPr>
              <w:t>01</w:t>
            </w:r>
          </w:p>
        </w:tc>
        <w:tc>
          <w:tcPr>
            <w:tcW w:w="3462" w:type="dxa"/>
          </w:tcPr>
          <w:p w:rsidR="00E21452" w:rsidRPr="007E33E3" w:rsidRDefault="00E21452" w:rsidP="00E21452">
            <w:pPr>
              <w:ind w:right="566"/>
              <w:jc w:val="both"/>
              <w:rPr>
                <w:rFonts w:ascii="Verdana" w:hAnsi="Verdana"/>
                <w:sz w:val="22"/>
                <w:szCs w:val="22"/>
              </w:rPr>
            </w:pPr>
            <w:r w:rsidRPr="007E33E3">
              <w:rPr>
                <w:rFonts w:ascii="Verdana" w:hAnsi="Verdana"/>
                <w:sz w:val="22"/>
                <w:szCs w:val="22"/>
              </w:rPr>
              <w:t>69 843 880€</w:t>
            </w:r>
          </w:p>
        </w:tc>
      </w:tr>
    </w:tbl>
    <w:p w:rsidR="00E21452" w:rsidRPr="007E33E3" w:rsidRDefault="00E21452" w:rsidP="00E21452">
      <w:pPr>
        <w:ind w:right="566"/>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3016"/>
        <w:gridCol w:w="3189"/>
      </w:tblGrid>
      <w:tr w:rsidR="00E21452" w:rsidRPr="007E33E3" w:rsidTr="00DA4B46">
        <w:tc>
          <w:tcPr>
            <w:tcW w:w="10384" w:type="dxa"/>
            <w:gridSpan w:val="3"/>
          </w:tcPr>
          <w:p w:rsidR="00E21452" w:rsidRPr="007E33E3" w:rsidRDefault="00E21452" w:rsidP="00E21452">
            <w:pPr>
              <w:ind w:right="566"/>
              <w:jc w:val="both"/>
              <w:rPr>
                <w:rFonts w:ascii="Verdana" w:hAnsi="Verdana"/>
                <w:b/>
                <w:sz w:val="22"/>
                <w:szCs w:val="22"/>
              </w:rPr>
            </w:pPr>
            <w:r w:rsidRPr="007E33E3">
              <w:rPr>
                <w:rFonts w:ascii="Verdana" w:hAnsi="Verdana"/>
                <w:b/>
                <w:sz w:val="22"/>
                <w:szCs w:val="22"/>
              </w:rPr>
              <w:t>Table 14 Dimension 3 Territory</w:t>
            </w:r>
          </w:p>
        </w:tc>
      </w:tr>
      <w:tr w:rsidR="00E21452" w:rsidRPr="007E33E3" w:rsidTr="00DA4B46">
        <w:tc>
          <w:tcPr>
            <w:tcW w:w="3461" w:type="dxa"/>
          </w:tcPr>
          <w:p w:rsidR="00E21452" w:rsidRPr="007E33E3" w:rsidRDefault="00E21452" w:rsidP="00E21452">
            <w:pPr>
              <w:ind w:right="566"/>
              <w:jc w:val="both"/>
              <w:rPr>
                <w:rFonts w:ascii="Verdana" w:hAnsi="Verdana"/>
                <w:b/>
                <w:sz w:val="22"/>
                <w:szCs w:val="22"/>
              </w:rPr>
            </w:pPr>
            <w:r w:rsidRPr="007E33E3">
              <w:rPr>
                <w:rFonts w:ascii="Verdana" w:hAnsi="Verdana"/>
                <w:b/>
                <w:sz w:val="22"/>
                <w:szCs w:val="22"/>
              </w:rPr>
              <w:t>Priority Axis</w:t>
            </w:r>
          </w:p>
        </w:tc>
        <w:tc>
          <w:tcPr>
            <w:tcW w:w="3461" w:type="dxa"/>
          </w:tcPr>
          <w:p w:rsidR="00E21452" w:rsidRPr="007E33E3" w:rsidRDefault="00E21452" w:rsidP="00E21452">
            <w:pPr>
              <w:ind w:right="566"/>
              <w:jc w:val="both"/>
              <w:rPr>
                <w:rFonts w:ascii="Verdana" w:hAnsi="Verdana"/>
                <w:b/>
                <w:sz w:val="22"/>
                <w:szCs w:val="22"/>
              </w:rPr>
            </w:pPr>
            <w:r w:rsidRPr="007E33E3">
              <w:rPr>
                <w:rFonts w:ascii="Verdana" w:hAnsi="Verdana"/>
                <w:b/>
                <w:sz w:val="22"/>
                <w:szCs w:val="22"/>
              </w:rPr>
              <w:t>Code</w:t>
            </w:r>
          </w:p>
        </w:tc>
        <w:tc>
          <w:tcPr>
            <w:tcW w:w="3462" w:type="dxa"/>
          </w:tcPr>
          <w:p w:rsidR="00E21452" w:rsidRPr="007E33E3" w:rsidRDefault="00E21452" w:rsidP="00E21452">
            <w:pPr>
              <w:ind w:right="566"/>
              <w:jc w:val="both"/>
              <w:rPr>
                <w:rFonts w:ascii="Verdana" w:hAnsi="Verdana"/>
                <w:b/>
                <w:sz w:val="22"/>
                <w:szCs w:val="22"/>
              </w:rPr>
            </w:pPr>
            <w:r w:rsidRPr="007E33E3">
              <w:rPr>
                <w:rFonts w:ascii="Verdana" w:hAnsi="Verdana"/>
                <w:b/>
                <w:sz w:val="22"/>
                <w:szCs w:val="22"/>
              </w:rPr>
              <w:t>€ EU support</w:t>
            </w:r>
          </w:p>
        </w:tc>
      </w:tr>
      <w:tr w:rsidR="00E21452" w:rsidRPr="007E33E3" w:rsidTr="00DA4B46">
        <w:tc>
          <w:tcPr>
            <w:tcW w:w="3461" w:type="dxa"/>
          </w:tcPr>
          <w:p w:rsidR="00E21452" w:rsidRPr="007E33E3" w:rsidRDefault="00E21452" w:rsidP="00E21452">
            <w:pPr>
              <w:ind w:right="566"/>
              <w:jc w:val="both"/>
              <w:rPr>
                <w:rFonts w:ascii="Verdana" w:hAnsi="Verdana"/>
                <w:sz w:val="22"/>
                <w:szCs w:val="22"/>
              </w:rPr>
            </w:pPr>
            <w:r w:rsidRPr="007E33E3">
              <w:rPr>
                <w:rFonts w:ascii="Verdana" w:hAnsi="Verdana"/>
                <w:sz w:val="22"/>
                <w:szCs w:val="22"/>
              </w:rPr>
              <w:t>PA 1</w:t>
            </w:r>
          </w:p>
        </w:tc>
        <w:tc>
          <w:tcPr>
            <w:tcW w:w="3461" w:type="dxa"/>
          </w:tcPr>
          <w:p w:rsidR="00E21452" w:rsidRPr="007E33E3" w:rsidRDefault="00E21452" w:rsidP="00E21452">
            <w:pPr>
              <w:ind w:right="566"/>
              <w:jc w:val="both"/>
              <w:rPr>
                <w:rFonts w:ascii="Verdana" w:hAnsi="Verdana"/>
                <w:sz w:val="22"/>
                <w:szCs w:val="22"/>
              </w:rPr>
            </w:pPr>
            <w:r w:rsidRPr="007E33E3">
              <w:rPr>
                <w:rFonts w:ascii="Verdana" w:hAnsi="Verdana"/>
                <w:sz w:val="22"/>
                <w:szCs w:val="22"/>
              </w:rPr>
              <w:t>00</w:t>
            </w:r>
          </w:p>
        </w:tc>
        <w:tc>
          <w:tcPr>
            <w:tcW w:w="3462" w:type="dxa"/>
          </w:tcPr>
          <w:p w:rsidR="00E21452" w:rsidRPr="007E33E3" w:rsidRDefault="00E21452" w:rsidP="00E21452">
            <w:pPr>
              <w:ind w:right="566"/>
              <w:jc w:val="both"/>
              <w:rPr>
                <w:rFonts w:ascii="Verdana" w:hAnsi="Verdana"/>
                <w:sz w:val="22"/>
                <w:szCs w:val="22"/>
              </w:rPr>
            </w:pPr>
            <w:r w:rsidRPr="007E33E3">
              <w:rPr>
                <w:rFonts w:ascii="Verdana" w:hAnsi="Verdana"/>
                <w:sz w:val="22"/>
                <w:szCs w:val="22"/>
              </w:rPr>
              <w:t>69 843 880€</w:t>
            </w:r>
          </w:p>
        </w:tc>
      </w:tr>
    </w:tbl>
    <w:p w:rsidR="00E21452" w:rsidRPr="007E33E3" w:rsidRDefault="00E21452" w:rsidP="00E21452">
      <w:pPr>
        <w:ind w:right="566"/>
        <w:jc w:val="both"/>
        <w:rPr>
          <w:rFonts w:ascii="Verdana" w:hAnsi="Verdana"/>
          <w:sz w:val="22"/>
          <w:szCs w:val="22"/>
        </w:rPr>
      </w:pPr>
    </w:p>
    <w:p w:rsidR="00E21452" w:rsidRPr="004F5F2B" w:rsidRDefault="00E21452" w:rsidP="00E21452">
      <w:pPr>
        <w:ind w:right="566"/>
        <w:jc w:val="both"/>
        <w:rPr>
          <w:rFonts w:ascii="Verdana" w:hAnsi="Verdana"/>
        </w:rPr>
      </w:pPr>
    </w:p>
    <w:p w:rsidR="008F49F8" w:rsidRPr="004F5F2B" w:rsidRDefault="008F49F8">
      <w:pPr>
        <w:spacing w:after="200" w:line="276" w:lineRule="auto"/>
        <w:rPr>
          <w:rFonts w:ascii="Verdana" w:hAnsi="Verdana"/>
        </w:rPr>
      </w:pPr>
      <w:r w:rsidRPr="004F5F2B">
        <w:rPr>
          <w:rFonts w:ascii="Verdana" w:hAnsi="Verdana"/>
        </w:rPr>
        <w:br w:type="page"/>
      </w:r>
    </w:p>
    <w:p w:rsidR="00E21452" w:rsidRPr="004F5F2B" w:rsidRDefault="00DC73D9" w:rsidP="00D4641C">
      <w:pPr>
        <w:pStyle w:val="2"/>
      </w:pPr>
      <w:bookmarkStart w:id="21" w:name="_Toc384648444"/>
      <w:r w:rsidRPr="004F5F2B">
        <w:t>2.B.</w:t>
      </w:r>
      <w:r w:rsidR="00A97643">
        <w:tab/>
      </w:r>
      <w:r w:rsidR="00E21452" w:rsidRPr="004F5F2B">
        <w:t>Description of the priority axes for technical assistance</w:t>
      </w:r>
      <w:bookmarkEnd w:id="21"/>
    </w:p>
    <w:p w:rsidR="00E21452" w:rsidRPr="004F5F2B" w:rsidRDefault="00E21452" w:rsidP="00D4641C">
      <w:pPr>
        <w:rPr>
          <w:rFonts w:ascii="Verdana" w:hAnsi="Verdana"/>
          <w:b/>
          <w:lang w:eastAsia="ar-SA"/>
        </w:rPr>
      </w:pPr>
    </w:p>
    <w:p w:rsidR="00E21452" w:rsidRPr="007E33E3" w:rsidRDefault="00E21452" w:rsidP="00D4641C">
      <w:pPr>
        <w:rPr>
          <w:rFonts w:ascii="Verdana" w:hAnsi="Verdana"/>
          <w:b/>
          <w:sz w:val="22"/>
          <w:szCs w:val="22"/>
        </w:rPr>
      </w:pPr>
      <w:r w:rsidRPr="007E33E3">
        <w:rPr>
          <w:rFonts w:ascii="Verdana" w:hAnsi="Verdana"/>
          <w:b/>
          <w:sz w:val="22"/>
          <w:szCs w:val="22"/>
        </w:rPr>
        <w:t xml:space="preserve">Priority Axis 2 </w:t>
      </w:r>
    </w:p>
    <w:p w:rsidR="00E21452" w:rsidRPr="007E33E3" w:rsidRDefault="00E21452" w:rsidP="00E21452">
      <w:pPr>
        <w:ind w:right="566"/>
        <w:jc w:val="both"/>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961"/>
      </w:tblGrid>
      <w:tr w:rsidR="00E21452" w:rsidRPr="007E33E3" w:rsidTr="00DA4B46">
        <w:tc>
          <w:tcPr>
            <w:tcW w:w="3936" w:type="dxa"/>
          </w:tcPr>
          <w:p w:rsidR="00E21452" w:rsidRPr="007E33E3" w:rsidRDefault="00E21452" w:rsidP="00E21452">
            <w:pPr>
              <w:ind w:right="254"/>
              <w:rPr>
                <w:rFonts w:ascii="Verdana" w:hAnsi="Verdana"/>
                <w:b/>
                <w:sz w:val="22"/>
                <w:szCs w:val="22"/>
              </w:rPr>
            </w:pPr>
            <w:r w:rsidRPr="007E33E3">
              <w:rPr>
                <w:rFonts w:ascii="Verdana" w:hAnsi="Verdana"/>
                <w:b/>
                <w:sz w:val="22"/>
                <w:szCs w:val="22"/>
              </w:rPr>
              <w:t>ID</w:t>
            </w:r>
          </w:p>
        </w:tc>
        <w:tc>
          <w:tcPr>
            <w:tcW w:w="4961" w:type="dxa"/>
          </w:tcPr>
          <w:p w:rsidR="00E21452" w:rsidRPr="007E33E3" w:rsidRDefault="00E21452" w:rsidP="00E21452">
            <w:pPr>
              <w:ind w:right="254"/>
              <w:rPr>
                <w:rFonts w:ascii="Verdana" w:hAnsi="Verdana"/>
                <w:b/>
                <w:sz w:val="22"/>
                <w:szCs w:val="22"/>
              </w:rPr>
            </w:pPr>
          </w:p>
        </w:tc>
      </w:tr>
      <w:tr w:rsidR="00E21452" w:rsidRPr="007E33E3" w:rsidTr="00DA4B46">
        <w:tc>
          <w:tcPr>
            <w:tcW w:w="3936" w:type="dxa"/>
          </w:tcPr>
          <w:p w:rsidR="00E21452" w:rsidRPr="007E33E3" w:rsidRDefault="00E21452" w:rsidP="00E21452">
            <w:pPr>
              <w:ind w:right="254"/>
              <w:rPr>
                <w:rFonts w:ascii="Verdana" w:hAnsi="Verdana"/>
                <w:b/>
                <w:sz w:val="22"/>
                <w:szCs w:val="22"/>
              </w:rPr>
            </w:pPr>
            <w:r w:rsidRPr="007E33E3">
              <w:rPr>
                <w:rFonts w:ascii="Verdana" w:hAnsi="Verdana"/>
                <w:b/>
                <w:sz w:val="22"/>
                <w:szCs w:val="22"/>
              </w:rPr>
              <w:t>Title</w:t>
            </w:r>
          </w:p>
        </w:tc>
        <w:tc>
          <w:tcPr>
            <w:tcW w:w="4961" w:type="dxa"/>
          </w:tcPr>
          <w:p w:rsidR="00E21452" w:rsidRPr="007E33E3" w:rsidRDefault="00E21452" w:rsidP="00E21452">
            <w:pPr>
              <w:ind w:right="254"/>
              <w:rPr>
                <w:rFonts w:ascii="Verdana" w:hAnsi="Verdana"/>
                <w:b/>
                <w:sz w:val="22"/>
                <w:szCs w:val="22"/>
              </w:rPr>
            </w:pPr>
            <w:r w:rsidRPr="007E33E3">
              <w:rPr>
                <w:rFonts w:ascii="Verdana" w:hAnsi="Verdana"/>
                <w:b/>
                <w:sz w:val="22"/>
                <w:szCs w:val="22"/>
              </w:rPr>
              <w:t>Technical Assistance</w:t>
            </w:r>
          </w:p>
        </w:tc>
      </w:tr>
    </w:tbl>
    <w:p w:rsidR="00E21452" w:rsidRPr="007E33E3" w:rsidRDefault="00E21452" w:rsidP="00E21452">
      <w:pPr>
        <w:ind w:right="254"/>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961"/>
      </w:tblGrid>
      <w:tr w:rsidR="00E21452" w:rsidRPr="007E33E3" w:rsidTr="00DA4B46">
        <w:tc>
          <w:tcPr>
            <w:tcW w:w="3936" w:type="dxa"/>
          </w:tcPr>
          <w:p w:rsidR="00E21452" w:rsidRPr="007E33E3" w:rsidRDefault="00E21452" w:rsidP="00E21452">
            <w:pPr>
              <w:ind w:right="254"/>
              <w:rPr>
                <w:rFonts w:ascii="Verdana" w:hAnsi="Verdana"/>
                <w:b/>
                <w:sz w:val="22"/>
                <w:szCs w:val="22"/>
              </w:rPr>
            </w:pPr>
            <w:r w:rsidRPr="007E33E3">
              <w:rPr>
                <w:rFonts w:ascii="Verdana" w:hAnsi="Verdana"/>
                <w:b/>
                <w:sz w:val="22"/>
                <w:szCs w:val="22"/>
              </w:rPr>
              <w:t>FUND</w:t>
            </w:r>
          </w:p>
        </w:tc>
        <w:tc>
          <w:tcPr>
            <w:tcW w:w="4961" w:type="dxa"/>
          </w:tcPr>
          <w:p w:rsidR="00E21452" w:rsidRPr="007E33E3" w:rsidRDefault="00E21452" w:rsidP="00E21452">
            <w:pPr>
              <w:ind w:right="254"/>
              <w:rPr>
                <w:rFonts w:ascii="Verdana" w:hAnsi="Verdana"/>
                <w:b/>
                <w:sz w:val="22"/>
                <w:szCs w:val="22"/>
              </w:rPr>
            </w:pPr>
            <w:r w:rsidRPr="007E33E3">
              <w:rPr>
                <w:rFonts w:ascii="Verdana" w:hAnsi="Verdana"/>
                <w:b/>
                <w:sz w:val="22"/>
                <w:szCs w:val="22"/>
              </w:rPr>
              <w:t>European Regional Development Fund</w:t>
            </w:r>
          </w:p>
        </w:tc>
      </w:tr>
    </w:tbl>
    <w:p w:rsidR="00E21452" w:rsidRPr="007E33E3" w:rsidRDefault="00E21452" w:rsidP="00E21452">
      <w:pPr>
        <w:ind w:right="254"/>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961"/>
      </w:tblGrid>
      <w:tr w:rsidR="00E21452" w:rsidRPr="007E33E3" w:rsidTr="00DA4B46">
        <w:tc>
          <w:tcPr>
            <w:tcW w:w="3936" w:type="dxa"/>
          </w:tcPr>
          <w:p w:rsidR="00E21452" w:rsidRPr="007E33E3" w:rsidRDefault="00E21452" w:rsidP="00E21452">
            <w:pPr>
              <w:ind w:right="254"/>
              <w:rPr>
                <w:rFonts w:ascii="Verdana" w:hAnsi="Verdana"/>
                <w:b/>
                <w:sz w:val="22"/>
                <w:szCs w:val="22"/>
              </w:rPr>
            </w:pPr>
            <w:r w:rsidRPr="007E33E3">
              <w:rPr>
                <w:rFonts w:ascii="Verdana" w:hAnsi="Verdana"/>
                <w:b/>
                <w:sz w:val="22"/>
                <w:szCs w:val="22"/>
              </w:rPr>
              <w:t>INVESTMENT PRIORITY</w:t>
            </w:r>
          </w:p>
        </w:tc>
        <w:tc>
          <w:tcPr>
            <w:tcW w:w="4961" w:type="dxa"/>
          </w:tcPr>
          <w:p w:rsidR="00E21452" w:rsidRPr="007E33E3" w:rsidRDefault="00E21452" w:rsidP="00E21452">
            <w:pPr>
              <w:ind w:right="254"/>
              <w:rPr>
                <w:rFonts w:ascii="Verdana" w:hAnsi="Verdana"/>
                <w:b/>
                <w:sz w:val="22"/>
                <w:szCs w:val="22"/>
              </w:rPr>
            </w:pPr>
            <w:r w:rsidRPr="007E33E3">
              <w:rPr>
                <w:rFonts w:ascii="Verdana" w:hAnsi="Verdana"/>
                <w:b/>
                <w:sz w:val="22"/>
                <w:szCs w:val="22"/>
              </w:rPr>
              <w:t>Thematic Objective 11</w:t>
            </w:r>
          </w:p>
        </w:tc>
      </w:tr>
    </w:tbl>
    <w:p w:rsidR="00E21452" w:rsidRPr="007E33E3" w:rsidRDefault="00E21452" w:rsidP="00E21452">
      <w:pPr>
        <w:ind w:right="254"/>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961"/>
      </w:tblGrid>
      <w:tr w:rsidR="00E21452" w:rsidRPr="007E33E3" w:rsidTr="00DA4B46">
        <w:tc>
          <w:tcPr>
            <w:tcW w:w="3936" w:type="dxa"/>
          </w:tcPr>
          <w:p w:rsidR="00E21452" w:rsidRPr="007E33E3" w:rsidRDefault="00364438" w:rsidP="00E21452">
            <w:pPr>
              <w:ind w:right="254"/>
              <w:rPr>
                <w:rFonts w:ascii="Verdana" w:hAnsi="Verdana"/>
                <w:b/>
                <w:sz w:val="22"/>
                <w:szCs w:val="22"/>
              </w:rPr>
            </w:pPr>
            <w:r w:rsidRPr="007E33E3">
              <w:rPr>
                <w:rFonts w:ascii="Verdana" w:hAnsi="Verdana"/>
                <w:b/>
                <w:sz w:val="22"/>
                <w:szCs w:val="22"/>
              </w:rPr>
              <w:t>CALCULATION BASIS FOR UNION SUPPORT</w:t>
            </w:r>
          </w:p>
        </w:tc>
        <w:tc>
          <w:tcPr>
            <w:tcW w:w="4961" w:type="dxa"/>
          </w:tcPr>
          <w:p w:rsidR="00E21452" w:rsidRPr="007E33E3" w:rsidRDefault="00E21452" w:rsidP="00E21452">
            <w:pPr>
              <w:ind w:right="254"/>
              <w:rPr>
                <w:rFonts w:ascii="Verdana" w:hAnsi="Verdana"/>
                <w:b/>
                <w:sz w:val="22"/>
                <w:szCs w:val="22"/>
              </w:rPr>
            </w:pPr>
            <w:r w:rsidRPr="007E33E3">
              <w:rPr>
                <w:rFonts w:ascii="Verdana" w:hAnsi="Verdana"/>
                <w:b/>
                <w:sz w:val="22"/>
                <w:szCs w:val="22"/>
              </w:rPr>
              <w:t>Total eligible cost</w:t>
            </w:r>
          </w:p>
        </w:tc>
      </w:tr>
    </w:tbl>
    <w:p w:rsidR="00E21452" w:rsidRPr="007E33E3" w:rsidRDefault="00E21452" w:rsidP="00B21572">
      <w:pPr>
        <w:pStyle w:val="2"/>
        <w:rPr>
          <w:sz w:val="22"/>
          <w:szCs w:val="22"/>
        </w:rPr>
      </w:pPr>
    </w:p>
    <w:p w:rsidR="00E21452" w:rsidRPr="004F5F2B" w:rsidRDefault="00B21572" w:rsidP="003F234F">
      <w:pPr>
        <w:pStyle w:val="2"/>
        <w:spacing w:after="120" w:line="276" w:lineRule="auto"/>
        <w:contextualSpacing/>
      </w:pPr>
      <w:bookmarkStart w:id="22" w:name="_Toc384648445"/>
      <w:r w:rsidRPr="004F5F2B">
        <w:t>2.</w:t>
      </w:r>
      <w:r w:rsidR="008F49F8" w:rsidRPr="004F5F2B">
        <w:t>B.1</w:t>
      </w:r>
      <w:r w:rsidR="007B5752">
        <w:t>.</w:t>
      </w:r>
      <w:r w:rsidR="007B5752">
        <w:tab/>
      </w:r>
      <w:r w:rsidR="00E21452" w:rsidRPr="004F5F2B">
        <w:t>Specific objective and expected results – Article 7 (2) (c) (i)-(ii) ETC Regulation</w:t>
      </w:r>
      <w:bookmarkEnd w:id="22"/>
    </w:p>
    <w:p w:rsidR="00E21452" w:rsidRPr="007E33E3" w:rsidRDefault="00E21452" w:rsidP="003F234F">
      <w:pPr>
        <w:spacing w:after="120" w:line="276" w:lineRule="auto"/>
        <w:ind w:right="566"/>
        <w:contextualSpacing/>
        <w:jc w:val="both"/>
        <w:rPr>
          <w:rFonts w:ascii="Verdana" w:hAnsi="Verdana"/>
          <w:b/>
          <w:sz w:val="22"/>
          <w:szCs w:val="22"/>
        </w:rPr>
      </w:pPr>
    </w:p>
    <w:p w:rsidR="00E21452" w:rsidRPr="007E33E3" w:rsidRDefault="00E21452" w:rsidP="003F234F">
      <w:pPr>
        <w:spacing w:after="120" w:line="276" w:lineRule="auto"/>
        <w:ind w:right="566"/>
        <w:contextualSpacing/>
        <w:jc w:val="both"/>
        <w:rPr>
          <w:rFonts w:ascii="Verdana" w:hAnsi="Verdana"/>
          <w:sz w:val="22"/>
          <w:szCs w:val="22"/>
        </w:rPr>
      </w:pPr>
      <w:r w:rsidRPr="007E33E3">
        <w:rPr>
          <w:rFonts w:ascii="Verdana" w:hAnsi="Verdana"/>
          <w:b/>
          <w:sz w:val="22"/>
          <w:szCs w:val="22"/>
        </w:rPr>
        <w:t xml:space="preserve">Objective: </w:t>
      </w:r>
      <w:r w:rsidRPr="007E33E3">
        <w:rPr>
          <w:rFonts w:ascii="Verdana" w:hAnsi="Verdana" w:cs="Arial"/>
          <w:sz w:val="22"/>
          <w:szCs w:val="22"/>
        </w:rPr>
        <w:t>To maximise the effectiveness and efficiency of the management and implementation of the URBACT III programme</w:t>
      </w:r>
    </w:p>
    <w:p w:rsidR="00E21452" w:rsidRPr="007E33E3" w:rsidRDefault="00E21452" w:rsidP="003F234F">
      <w:pPr>
        <w:spacing w:after="120" w:line="276" w:lineRule="auto"/>
        <w:ind w:right="566"/>
        <w:contextualSpacing/>
        <w:jc w:val="both"/>
        <w:rPr>
          <w:rFonts w:ascii="Verdana" w:hAnsi="Verdana" w:cs="Arial"/>
          <w:sz w:val="22"/>
          <w:szCs w:val="22"/>
        </w:rPr>
      </w:pPr>
    </w:p>
    <w:p w:rsidR="00E21452" w:rsidRPr="007E33E3" w:rsidRDefault="00E21452" w:rsidP="003F234F">
      <w:pPr>
        <w:spacing w:after="120" w:line="276" w:lineRule="auto"/>
        <w:ind w:right="566"/>
        <w:contextualSpacing/>
        <w:jc w:val="both"/>
        <w:rPr>
          <w:rFonts w:ascii="Verdana" w:hAnsi="Verdana" w:cs="Arial"/>
          <w:b/>
          <w:sz w:val="22"/>
          <w:szCs w:val="22"/>
        </w:rPr>
      </w:pPr>
      <w:r w:rsidRPr="007E33E3">
        <w:rPr>
          <w:rFonts w:ascii="Verdana" w:hAnsi="Verdana" w:cs="Arial"/>
          <w:b/>
          <w:sz w:val="22"/>
          <w:szCs w:val="22"/>
        </w:rPr>
        <w:t xml:space="preserve">Expected results: </w:t>
      </w:r>
      <w:r w:rsidRPr="007E33E3">
        <w:rPr>
          <w:rFonts w:ascii="Verdana" w:hAnsi="Verdana" w:cs="Arial"/>
          <w:sz w:val="22"/>
          <w:szCs w:val="22"/>
        </w:rPr>
        <w:t>An effective and efficient delivery of the URBACT programme over the 2014-2020 period.</w:t>
      </w:r>
      <w:r w:rsidRPr="007E33E3">
        <w:rPr>
          <w:rFonts w:ascii="Verdana" w:hAnsi="Verdana" w:cs="Arial"/>
          <w:b/>
          <w:sz w:val="22"/>
          <w:szCs w:val="22"/>
        </w:rPr>
        <w:t xml:space="preserve"> </w:t>
      </w:r>
    </w:p>
    <w:p w:rsidR="00E21452" w:rsidRPr="007E33E3" w:rsidRDefault="00E21452" w:rsidP="003F234F">
      <w:pPr>
        <w:spacing w:after="120" w:line="276" w:lineRule="auto"/>
        <w:ind w:right="566"/>
        <w:contextualSpacing/>
        <w:jc w:val="both"/>
        <w:rPr>
          <w:rFonts w:ascii="Verdana" w:hAnsi="Verdana" w:cs="Arial"/>
          <w:b/>
          <w:sz w:val="22"/>
          <w:szCs w:val="22"/>
        </w:rPr>
      </w:pPr>
    </w:p>
    <w:p w:rsidR="00E21452" w:rsidRPr="007E33E3" w:rsidRDefault="00E21452" w:rsidP="003F234F">
      <w:pPr>
        <w:spacing w:after="120" w:line="276" w:lineRule="auto"/>
        <w:ind w:right="566"/>
        <w:contextualSpacing/>
        <w:jc w:val="both"/>
        <w:rPr>
          <w:rFonts w:ascii="Verdana" w:hAnsi="Verdana"/>
          <w:sz w:val="22"/>
          <w:szCs w:val="22"/>
        </w:rPr>
      </w:pPr>
      <w:r w:rsidRPr="007E33E3">
        <w:rPr>
          <w:rFonts w:ascii="Verdana" w:hAnsi="Verdana"/>
          <w:sz w:val="22"/>
          <w:szCs w:val="22"/>
        </w:rPr>
        <w:t xml:space="preserve">This requires the establishment of project support structures and the development of tools and activities at programme level to provide the highest levels of effectiveness and efficiency in programme management and implementation.  </w:t>
      </w:r>
    </w:p>
    <w:p w:rsidR="00E21452" w:rsidRPr="007E33E3" w:rsidRDefault="00E21452" w:rsidP="003F234F">
      <w:pPr>
        <w:spacing w:after="120" w:line="276" w:lineRule="auto"/>
        <w:ind w:right="566"/>
        <w:contextualSpacing/>
        <w:jc w:val="both"/>
        <w:rPr>
          <w:rFonts w:ascii="Verdana" w:hAnsi="Verdana"/>
          <w:sz w:val="22"/>
          <w:szCs w:val="22"/>
        </w:rPr>
      </w:pPr>
    </w:p>
    <w:p w:rsidR="00E21452" w:rsidRPr="007E33E3" w:rsidRDefault="00E21452" w:rsidP="003F234F">
      <w:pPr>
        <w:spacing w:after="120" w:line="276" w:lineRule="auto"/>
        <w:ind w:right="566"/>
        <w:contextualSpacing/>
        <w:jc w:val="both"/>
        <w:rPr>
          <w:rFonts w:ascii="Verdana" w:hAnsi="Verdana"/>
          <w:sz w:val="22"/>
          <w:szCs w:val="22"/>
        </w:rPr>
      </w:pPr>
      <w:r w:rsidRPr="007E33E3">
        <w:rPr>
          <w:rFonts w:ascii="Verdana" w:hAnsi="Verdana"/>
          <w:sz w:val="22"/>
          <w:szCs w:val="22"/>
        </w:rPr>
        <w:t>These include the following activities:</w:t>
      </w:r>
    </w:p>
    <w:p w:rsidR="00E21452" w:rsidRPr="007E33E3" w:rsidRDefault="00E21452" w:rsidP="00D67ECF">
      <w:pPr>
        <w:pStyle w:val="Paragraphedeliste3"/>
        <w:numPr>
          <w:ilvl w:val="0"/>
          <w:numId w:val="4"/>
        </w:numPr>
        <w:spacing w:after="120"/>
        <w:ind w:right="566"/>
        <w:jc w:val="both"/>
        <w:rPr>
          <w:rFonts w:ascii="Verdana" w:hAnsi="Verdana"/>
        </w:rPr>
      </w:pPr>
      <w:r w:rsidRPr="007E33E3">
        <w:rPr>
          <w:rFonts w:ascii="Verdana" w:hAnsi="Verdana"/>
        </w:rPr>
        <w:t>an efficient monitoring and control system that provides strong insight in the progress, quality and impact of the supported interventions with as little administrative burden to beneficiaries and programme bodies as possible.</w:t>
      </w:r>
    </w:p>
    <w:p w:rsidR="00E21452" w:rsidRPr="007E33E3" w:rsidRDefault="00E21452" w:rsidP="00D67ECF">
      <w:pPr>
        <w:pStyle w:val="Paragraphedeliste3"/>
        <w:numPr>
          <w:ilvl w:val="0"/>
          <w:numId w:val="4"/>
        </w:numPr>
        <w:spacing w:after="120"/>
        <w:ind w:right="566"/>
        <w:jc w:val="both"/>
        <w:rPr>
          <w:rFonts w:ascii="Verdana" w:hAnsi="Verdana"/>
        </w:rPr>
      </w:pPr>
      <w:r w:rsidRPr="007E33E3">
        <w:rPr>
          <w:rFonts w:ascii="Verdana" w:hAnsi="Verdana"/>
        </w:rPr>
        <w:t xml:space="preserve">an effective project generation and selection process that leads to manageable numbers of applications of good quality proposals relevant to the programme. </w:t>
      </w:r>
    </w:p>
    <w:p w:rsidR="00D63D58" w:rsidRPr="007E33E3" w:rsidRDefault="00E21452" w:rsidP="00D67ECF">
      <w:pPr>
        <w:pStyle w:val="Paragraphedeliste3"/>
        <w:numPr>
          <w:ilvl w:val="0"/>
          <w:numId w:val="4"/>
        </w:numPr>
        <w:spacing w:after="120"/>
        <w:ind w:right="566"/>
        <w:jc w:val="both"/>
        <w:rPr>
          <w:rFonts w:ascii="Verdana" w:hAnsi="Verdana"/>
        </w:rPr>
      </w:pPr>
      <w:r w:rsidRPr="007E33E3">
        <w:rPr>
          <w:rFonts w:ascii="Verdana" w:hAnsi="Verdana"/>
        </w:rPr>
        <w:t>a strong support structure to those partners involved in URBACT networks and other activities of the programme.</w:t>
      </w:r>
    </w:p>
    <w:p w:rsidR="007E33E3" w:rsidRDefault="007E33E3" w:rsidP="003F234F">
      <w:pPr>
        <w:pStyle w:val="2"/>
        <w:spacing w:after="120" w:line="276" w:lineRule="auto"/>
        <w:contextualSpacing/>
      </w:pPr>
    </w:p>
    <w:p w:rsidR="00E21452" w:rsidRPr="004F5F2B" w:rsidRDefault="00E21452" w:rsidP="003F234F">
      <w:pPr>
        <w:pStyle w:val="2"/>
        <w:spacing w:after="120" w:line="276" w:lineRule="auto"/>
        <w:contextualSpacing/>
      </w:pPr>
      <w:bookmarkStart w:id="23" w:name="_Toc384648446"/>
      <w:r w:rsidRPr="004F5F2B">
        <w:t>2.B.2</w:t>
      </w:r>
      <w:r w:rsidR="007B5752">
        <w:t>.</w:t>
      </w:r>
      <w:r w:rsidR="007B5752">
        <w:tab/>
      </w:r>
      <w:r w:rsidRPr="004F5F2B">
        <w:t>Result Indicators</w:t>
      </w:r>
      <w:bookmarkEnd w:id="23"/>
    </w:p>
    <w:p w:rsidR="00E21452" w:rsidRPr="004F5F2B" w:rsidRDefault="00E21452" w:rsidP="003F234F">
      <w:pPr>
        <w:spacing w:after="120" w:line="276" w:lineRule="auto"/>
        <w:ind w:right="566"/>
        <w:contextualSpacing/>
        <w:jc w:val="both"/>
        <w:rPr>
          <w:rFonts w:ascii="Verdana" w:hAnsi="Verdana"/>
          <w:b/>
          <w:u w:val="single"/>
        </w:rPr>
      </w:pPr>
    </w:p>
    <w:p w:rsidR="00E21452" w:rsidRPr="004F5F2B" w:rsidRDefault="00E21452" w:rsidP="003F234F">
      <w:pPr>
        <w:spacing w:after="120" w:line="276" w:lineRule="auto"/>
        <w:ind w:right="566"/>
        <w:contextualSpacing/>
        <w:jc w:val="both"/>
        <w:rPr>
          <w:rFonts w:ascii="Verdana" w:hAnsi="Verdana"/>
        </w:rPr>
      </w:pPr>
      <w:r w:rsidRPr="004F5F2B">
        <w:rPr>
          <w:rFonts w:ascii="Verdana" w:hAnsi="Verdana"/>
        </w:rPr>
        <w:t>Not applicable to URBACT III as the TA budget is below 15m€</w:t>
      </w:r>
    </w:p>
    <w:p w:rsidR="00E21452" w:rsidRPr="004F5F2B" w:rsidRDefault="00E21452" w:rsidP="003F234F">
      <w:pPr>
        <w:spacing w:after="120" w:line="276" w:lineRule="auto"/>
        <w:ind w:right="566"/>
        <w:contextualSpacing/>
        <w:jc w:val="both"/>
        <w:rPr>
          <w:rFonts w:ascii="Verdana" w:hAnsi="Verdana"/>
          <w:b/>
          <w:u w:val="single"/>
        </w:rPr>
      </w:pPr>
    </w:p>
    <w:p w:rsidR="00E21452" w:rsidRPr="004F5F2B" w:rsidRDefault="00B21572" w:rsidP="003F234F">
      <w:pPr>
        <w:pStyle w:val="2"/>
        <w:spacing w:after="120" w:line="276" w:lineRule="auto"/>
        <w:contextualSpacing/>
      </w:pPr>
      <w:bookmarkStart w:id="24" w:name="_Toc384648447"/>
      <w:r w:rsidRPr="004F5F2B">
        <w:t>2.</w:t>
      </w:r>
      <w:r w:rsidR="008F49F8" w:rsidRPr="004F5F2B">
        <w:t>B.3</w:t>
      </w:r>
      <w:r w:rsidR="00E21452" w:rsidRPr="004F5F2B">
        <w:t>.</w:t>
      </w:r>
      <w:r w:rsidR="007B5752">
        <w:tab/>
      </w:r>
      <w:r w:rsidR="00E21452" w:rsidRPr="004F5F2B">
        <w:t>Actions to be supported and their expected contribution to the specific objective - Article 7 (2) (c) (iii) ETC Regulation</w:t>
      </w:r>
      <w:bookmarkEnd w:id="24"/>
    </w:p>
    <w:p w:rsidR="00E21452" w:rsidRPr="004F5F2B" w:rsidRDefault="00E21452" w:rsidP="003F234F">
      <w:pPr>
        <w:spacing w:after="120" w:line="276" w:lineRule="auto"/>
        <w:ind w:right="566"/>
        <w:contextualSpacing/>
        <w:jc w:val="both"/>
        <w:rPr>
          <w:rFonts w:ascii="Verdana" w:hAnsi="Verdana"/>
          <w:b/>
          <w:i/>
        </w:rPr>
      </w:pPr>
    </w:p>
    <w:p w:rsidR="00E21452" w:rsidRPr="007E33E3" w:rsidRDefault="00B21572" w:rsidP="003F234F">
      <w:pPr>
        <w:spacing w:after="120" w:line="276" w:lineRule="auto"/>
        <w:ind w:right="566"/>
        <w:contextualSpacing/>
        <w:jc w:val="both"/>
        <w:rPr>
          <w:rFonts w:ascii="Verdana" w:hAnsi="Verdana"/>
          <w:b/>
          <w:sz w:val="22"/>
          <w:szCs w:val="22"/>
        </w:rPr>
      </w:pPr>
      <w:r w:rsidRPr="007E33E3">
        <w:rPr>
          <w:rFonts w:ascii="Verdana" w:hAnsi="Verdana"/>
          <w:b/>
          <w:sz w:val="22"/>
          <w:szCs w:val="22"/>
        </w:rPr>
        <w:t>2.</w:t>
      </w:r>
      <w:r w:rsidR="008F49F8" w:rsidRPr="007E33E3">
        <w:rPr>
          <w:rFonts w:ascii="Verdana" w:hAnsi="Verdana"/>
          <w:b/>
          <w:sz w:val="22"/>
          <w:szCs w:val="22"/>
        </w:rPr>
        <w:t>B.3.1</w:t>
      </w:r>
      <w:r w:rsidR="00E21452" w:rsidRPr="007E33E3">
        <w:rPr>
          <w:rFonts w:ascii="Verdana" w:hAnsi="Verdana"/>
          <w:b/>
          <w:sz w:val="22"/>
          <w:szCs w:val="22"/>
        </w:rPr>
        <w:t xml:space="preserve"> A description of the actions to be supported and their contribution to the specific objective - Article 7 (2) (c) (iii) ETC Regulation</w:t>
      </w:r>
    </w:p>
    <w:p w:rsidR="00E21452" w:rsidRPr="007E33E3" w:rsidRDefault="00E21452" w:rsidP="003F234F">
      <w:pPr>
        <w:spacing w:after="120" w:line="276" w:lineRule="auto"/>
        <w:ind w:right="566"/>
        <w:contextualSpacing/>
        <w:jc w:val="both"/>
        <w:rPr>
          <w:rFonts w:ascii="Verdana" w:hAnsi="Verdana"/>
          <w:b/>
          <w:i/>
          <w:sz w:val="22"/>
          <w:szCs w:val="22"/>
          <w:u w:val="single"/>
        </w:rPr>
      </w:pPr>
    </w:p>
    <w:p w:rsidR="00E21452" w:rsidRPr="007E33E3" w:rsidRDefault="00E21452" w:rsidP="003F234F">
      <w:pPr>
        <w:spacing w:after="120" w:line="276" w:lineRule="auto"/>
        <w:ind w:right="566"/>
        <w:contextualSpacing/>
        <w:jc w:val="both"/>
        <w:rPr>
          <w:rFonts w:ascii="Verdana" w:hAnsi="Verdana"/>
          <w:sz w:val="22"/>
          <w:szCs w:val="22"/>
        </w:rPr>
      </w:pPr>
      <w:r w:rsidRPr="007E33E3">
        <w:rPr>
          <w:rFonts w:ascii="Verdana" w:hAnsi="Verdana"/>
          <w:sz w:val="22"/>
          <w:szCs w:val="22"/>
        </w:rPr>
        <w:t>Pivotal to the delivery of the URBACT III programme is the programmes’ Joint Secretariat. This secretariat needs to consist of a team of professionals who possess the skills and competences needed for the management, content delivery, financial and communication tasks related to implementing this EU-wide cooperation programme. Adequately staffing and equipping this Joint Secretariat is a core part of the Technical Assistance budget expenditure.</w:t>
      </w:r>
    </w:p>
    <w:p w:rsidR="00E21452" w:rsidRPr="007E33E3" w:rsidRDefault="00E21452" w:rsidP="003F234F">
      <w:pPr>
        <w:spacing w:after="120" w:line="276" w:lineRule="auto"/>
        <w:ind w:right="566"/>
        <w:contextualSpacing/>
        <w:jc w:val="both"/>
        <w:rPr>
          <w:rFonts w:ascii="Verdana" w:hAnsi="Verdana"/>
          <w:sz w:val="22"/>
          <w:szCs w:val="22"/>
        </w:rPr>
      </w:pPr>
    </w:p>
    <w:p w:rsidR="00E21452" w:rsidRPr="007E33E3" w:rsidRDefault="00E21452" w:rsidP="003F234F">
      <w:pPr>
        <w:spacing w:after="120" w:line="276" w:lineRule="auto"/>
        <w:ind w:right="566"/>
        <w:contextualSpacing/>
        <w:jc w:val="both"/>
        <w:rPr>
          <w:rFonts w:ascii="Verdana" w:hAnsi="Verdana"/>
          <w:sz w:val="22"/>
          <w:szCs w:val="22"/>
        </w:rPr>
      </w:pPr>
      <w:r w:rsidRPr="007E33E3">
        <w:rPr>
          <w:rFonts w:ascii="Verdana" w:hAnsi="Verdana"/>
          <w:sz w:val="22"/>
          <w:szCs w:val="22"/>
        </w:rPr>
        <w:t>The Technical Assistance priority will support a range of activities and tools that are instrumental to achieving the specific objective of this priority. These include following types of activities:</w:t>
      </w:r>
    </w:p>
    <w:p w:rsidR="00E21452" w:rsidRPr="007E33E3" w:rsidRDefault="00E21452" w:rsidP="003F234F">
      <w:pPr>
        <w:spacing w:after="120" w:line="276" w:lineRule="auto"/>
        <w:ind w:right="566"/>
        <w:contextualSpacing/>
        <w:jc w:val="both"/>
        <w:rPr>
          <w:rFonts w:ascii="Verdana" w:hAnsi="Verdana"/>
          <w:sz w:val="22"/>
          <w:szCs w:val="22"/>
        </w:rPr>
      </w:pPr>
    </w:p>
    <w:p w:rsidR="00E21452" w:rsidRPr="007E33E3" w:rsidRDefault="00E21452" w:rsidP="003F234F">
      <w:pPr>
        <w:spacing w:after="120" w:line="276" w:lineRule="auto"/>
        <w:ind w:right="566"/>
        <w:contextualSpacing/>
        <w:jc w:val="both"/>
        <w:rPr>
          <w:rFonts w:ascii="Verdana" w:hAnsi="Verdana"/>
          <w:sz w:val="22"/>
          <w:szCs w:val="22"/>
        </w:rPr>
      </w:pPr>
      <w:r w:rsidRPr="007E33E3">
        <w:rPr>
          <w:rFonts w:ascii="Verdana" w:hAnsi="Verdana"/>
          <w:sz w:val="22"/>
          <w:szCs w:val="22"/>
        </w:rPr>
        <w:t xml:space="preserve">Monitoring, control and reporting </w:t>
      </w:r>
    </w:p>
    <w:p w:rsidR="00E21452" w:rsidRPr="008B00B7" w:rsidRDefault="00E21452" w:rsidP="00D67ECF">
      <w:pPr>
        <w:pStyle w:val="afd"/>
        <w:numPr>
          <w:ilvl w:val="0"/>
          <w:numId w:val="39"/>
        </w:numPr>
        <w:spacing w:after="120"/>
        <w:ind w:left="714" w:right="567" w:hanging="357"/>
        <w:jc w:val="both"/>
        <w:rPr>
          <w:rFonts w:ascii="Verdana" w:hAnsi="Verdana"/>
        </w:rPr>
      </w:pPr>
      <w:r w:rsidRPr="008B00B7">
        <w:rPr>
          <w:rFonts w:ascii="Verdana" w:hAnsi="Verdana"/>
        </w:rPr>
        <w:t xml:space="preserve">The operation of a computerised system for programme management, monitoring, audit and control. </w:t>
      </w:r>
    </w:p>
    <w:p w:rsidR="00E21452" w:rsidRPr="008B00B7" w:rsidRDefault="00E21452" w:rsidP="00D67ECF">
      <w:pPr>
        <w:pStyle w:val="afd"/>
        <w:numPr>
          <w:ilvl w:val="0"/>
          <w:numId w:val="39"/>
        </w:numPr>
        <w:spacing w:after="120"/>
        <w:ind w:left="714" w:right="567" w:hanging="357"/>
        <w:jc w:val="both"/>
        <w:rPr>
          <w:rFonts w:ascii="Verdana" w:hAnsi="Verdana"/>
        </w:rPr>
      </w:pPr>
      <w:r w:rsidRPr="008B00B7">
        <w:rPr>
          <w:rFonts w:ascii="Verdana" w:hAnsi="Verdana"/>
        </w:rPr>
        <w:t>Strong and clear guidance and support to ensure adequate control of the programme interventions at all levels (partners, controllers, Partner State bodies responsible for first level controller approbation) e.g. through seminars, guidance documents and advice.</w:t>
      </w:r>
    </w:p>
    <w:p w:rsidR="00E21452" w:rsidRPr="008B00B7" w:rsidRDefault="00E21452" w:rsidP="00D67ECF">
      <w:pPr>
        <w:pStyle w:val="afd"/>
        <w:numPr>
          <w:ilvl w:val="0"/>
          <w:numId w:val="39"/>
        </w:numPr>
        <w:spacing w:after="120"/>
        <w:ind w:left="714" w:right="567" w:hanging="357"/>
        <w:jc w:val="both"/>
        <w:rPr>
          <w:rFonts w:ascii="Verdana" w:hAnsi="Verdana"/>
        </w:rPr>
      </w:pPr>
      <w:r w:rsidRPr="008B00B7">
        <w:rPr>
          <w:rFonts w:ascii="Verdana" w:hAnsi="Verdana"/>
        </w:rPr>
        <w:t>Coordination and organisation of programme level audit activities, including the (external) audits on projects and supporting the Group of Auditors. The audits will contribute to quality projects which use systems and procedures that adhere to EU rules.</w:t>
      </w:r>
    </w:p>
    <w:p w:rsidR="00E21452" w:rsidRPr="008B00B7" w:rsidRDefault="00E21452" w:rsidP="00D67ECF">
      <w:pPr>
        <w:pStyle w:val="afd"/>
        <w:numPr>
          <w:ilvl w:val="0"/>
          <w:numId w:val="39"/>
        </w:numPr>
        <w:spacing w:after="120"/>
        <w:ind w:left="714" w:right="567" w:hanging="357"/>
        <w:jc w:val="both"/>
        <w:rPr>
          <w:rFonts w:ascii="Verdana" w:hAnsi="Verdana"/>
        </w:rPr>
      </w:pPr>
      <w:r w:rsidRPr="008B00B7">
        <w:rPr>
          <w:rFonts w:ascii="Verdana" w:hAnsi="Verdana"/>
        </w:rPr>
        <w:t>Regular reporting to the European Commission on progress of the programme with focus on impact and results.</w:t>
      </w:r>
    </w:p>
    <w:p w:rsidR="00E21452" w:rsidRPr="007E33E3" w:rsidRDefault="00E21452" w:rsidP="003F234F">
      <w:pPr>
        <w:spacing w:after="120" w:line="276" w:lineRule="auto"/>
        <w:ind w:right="566"/>
        <w:contextualSpacing/>
        <w:jc w:val="both"/>
        <w:rPr>
          <w:rFonts w:ascii="Verdana" w:hAnsi="Verdana"/>
          <w:sz w:val="22"/>
          <w:szCs w:val="22"/>
        </w:rPr>
      </w:pPr>
    </w:p>
    <w:p w:rsidR="00E21452" w:rsidRPr="007E33E3" w:rsidRDefault="00E21452" w:rsidP="003F234F">
      <w:pPr>
        <w:spacing w:after="120" w:line="276" w:lineRule="auto"/>
        <w:ind w:right="566"/>
        <w:contextualSpacing/>
        <w:jc w:val="both"/>
        <w:rPr>
          <w:rFonts w:ascii="Verdana" w:hAnsi="Verdana"/>
          <w:sz w:val="22"/>
          <w:szCs w:val="22"/>
        </w:rPr>
      </w:pPr>
      <w:r w:rsidRPr="007E33E3">
        <w:rPr>
          <w:rFonts w:ascii="Verdana" w:hAnsi="Verdana"/>
          <w:sz w:val="22"/>
          <w:szCs w:val="22"/>
        </w:rPr>
        <w:t xml:space="preserve">Project generation and selection </w:t>
      </w:r>
    </w:p>
    <w:p w:rsidR="00E21452" w:rsidRPr="007E33E3" w:rsidRDefault="00E21452" w:rsidP="00D67ECF">
      <w:pPr>
        <w:numPr>
          <w:ilvl w:val="0"/>
          <w:numId w:val="40"/>
        </w:numPr>
        <w:spacing w:after="120" w:line="276" w:lineRule="auto"/>
        <w:ind w:left="714" w:right="567" w:hanging="357"/>
        <w:contextualSpacing/>
        <w:jc w:val="both"/>
        <w:rPr>
          <w:rFonts w:ascii="Verdana" w:hAnsi="Verdana"/>
          <w:sz w:val="22"/>
          <w:szCs w:val="22"/>
        </w:rPr>
      </w:pPr>
      <w:r w:rsidRPr="007E33E3">
        <w:rPr>
          <w:rFonts w:ascii="Verdana" w:hAnsi="Verdana"/>
          <w:sz w:val="22"/>
          <w:szCs w:val="22"/>
        </w:rPr>
        <w:t>Developing application forms, calls for proposals/terms of reference and guidance documents for potential project applicants.</w:t>
      </w:r>
    </w:p>
    <w:p w:rsidR="00E21452" w:rsidRPr="007E33E3" w:rsidRDefault="00E21452" w:rsidP="00D67ECF">
      <w:pPr>
        <w:numPr>
          <w:ilvl w:val="0"/>
          <w:numId w:val="40"/>
        </w:numPr>
        <w:spacing w:after="120" w:line="276" w:lineRule="auto"/>
        <w:ind w:left="714" w:right="567" w:hanging="357"/>
        <w:contextualSpacing/>
        <w:jc w:val="both"/>
        <w:rPr>
          <w:rFonts w:ascii="Verdana" w:hAnsi="Verdana"/>
          <w:sz w:val="22"/>
          <w:szCs w:val="22"/>
        </w:rPr>
      </w:pPr>
      <w:r w:rsidRPr="007E33E3">
        <w:rPr>
          <w:rFonts w:ascii="Verdana" w:hAnsi="Verdana"/>
          <w:sz w:val="22"/>
          <w:szCs w:val="22"/>
        </w:rPr>
        <w:t>Providing assistance and advice to potential applicants in the process of developing their project application to ensure high quality proposals.</w:t>
      </w:r>
    </w:p>
    <w:p w:rsidR="00E21452" w:rsidRPr="007E33E3" w:rsidRDefault="00E21452" w:rsidP="00D67ECF">
      <w:pPr>
        <w:numPr>
          <w:ilvl w:val="0"/>
          <w:numId w:val="40"/>
        </w:numPr>
        <w:spacing w:after="120" w:line="276" w:lineRule="auto"/>
        <w:ind w:left="714" w:right="567" w:hanging="357"/>
        <w:contextualSpacing/>
        <w:jc w:val="both"/>
        <w:rPr>
          <w:rFonts w:ascii="Verdana" w:hAnsi="Verdana"/>
          <w:sz w:val="22"/>
          <w:szCs w:val="22"/>
        </w:rPr>
      </w:pPr>
      <w:r w:rsidRPr="007E33E3">
        <w:rPr>
          <w:rFonts w:ascii="Verdana" w:hAnsi="Verdana"/>
          <w:sz w:val="22"/>
          <w:szCs w:val="22"/>
        </w:rPr>
        <w:t>Coordination of quality assessments of applications for projects.</w:t>
      </w:r>
    </w:p>
    <w:p w:rsidR="008F49F8" w:rsidRPr="007E33E3" w:rsidRDefault="008F49F8" w:rsidP="003F234F">
      <w:pPr>
        <w:spacing w:after="120" w:line="276" w:lineRule="auto"/>
        <w:ind w:right="566"/>
        <w:contextualSpacing/>
        <w:jc w:val="both"/>
        <w:rPr>
          <w:rFonts w:ascii="Verdana" w:hAnsi="Verdana"/>
          <w:sz w:val="22"/>
          <w:szCs w:val="22"/>
        </w:rPr>
      </w:pPr>
    </w:p>
    <w:p w:rsidR="008B00B7" w:rsidRDefault="008B00B7">
      <w:pPr>
        <w:rPr>
          <w:rFonts w:ascii="Verdana" w:hAnsi="Verdana"/>
          <w:sz w:val="22"/>
          <w:szCs w:val="22"/>
        </w:rPr>
      </w:pPr>
      <w:r>
        <w:rPr>
          <w:rFonts w:ascii="Verdana" w:hAnsi="Verdana"/>
          <w:sz w:val="22"/>
          <w:szCs w:val="22"/>
        </w:rPr>
        <w:br w:type="page"/>
      </w:r>
    </w:p>
    <w:p w:rsidR="00E21452" w:rsidRPr="007E33E3" w:rsidRDefault="00E21452" w:rsidP="003F234F">
      <w:pPr>
        <w:spacing w:after="120" w:line="276" w:lineRule="auto"/>
        <w:ind w:right="566"/>
        <w:contextualSpacing/>
        <w:jc w:val="both"/>
        <w:rPr>
          <w:rFonts w:ascii="Verdana" w:hAnsi="Verdana"/>
          <w:sz w:val="22"/>
          <w:szCs w:val="22"/>
        </w:rPr>
      </w:pPr>
      <w:r w:rsidRPr="007E33E3">
        <w:rPr>
          <w:rFonts w:ascii="Verdana" w:hAnsi="Verdana"/>
          <w:sz w:val="22"/>
          <w:szCs w:val="22"/>
        </w:rPr>
        <w:t xml:space="preserve">Support to the actors involved in URBACT projects </w:t>
      </w:r>
    </w:p>
    <w:p w:rsidR="00E21452" w:rsidRPr="007E33E3" w:rsidRDefault="00E21452" w:rsidP="00D67ECF">
      <w:pPr>
        <w:numPr>
          <w:ilvl w:val="0"/>
          <w:numId w:val="41"/>
        </w:numPr>
        <w:spacing w:after="120" w:line="276" w:lineRule="auto"/>
        <w:ind w:left="714" w:right="567" w:hanging="357"/>
        <w:contextualSpacing/>
        <w:jc w:val="both"/>
        <w:rPr>
          <w:rFonts w:ascii="Verdana" w:hAnsi="Verdana"/>
          <w:sz w:val="22"/>
          <w:szCs w:val="22"/>
        </w:rPr>
      </w:pPr>
      <w:r w:rsidRPr="007E33E3">
        <w:rPr>
          <w:rFonts w:ascii="Verdana" w:hAnsi="Verdana"/>
          <w:sz w:val="22"/>
          <w:szCs w:val="22"/>
        </w:rPr>
        <w:t>Providing tools and guidance documentation to project beneficiaries to help them effectively deliver their activities.</w:t>
      </w:r>
    </w:p>
    <w:p w:rsidR="00E21452" w:rsidRPr="007E33E3" w:rsidRDefault="00E21452" w:rsidP="00D67ECF">
      <w:pPr>
        <w:numPr>
          <w:ilvl w:val="0"/>
          <w:numId w:val="41"/>
        </w:numPr>
        <w:spacing w:after="120" w:line="276" w:lineRule="auto"/>
        <w:ind w:left="714" w:right="567" w:hanging="357"/>
        <w:contextualSpacing/>
        <w:jc w:val="both"/>
        <w:rPr>
          <w:rFonts w:ascii="Verdana" w:hAnsi="Verdana"/>
          <w:sz w:val="22"/>
          <w:szCs w:val="22"/>
        </w:rPr>
      </w:pPr>
      <w:r w:rsidRPr="007E33E3">
        <w:rPr>
          <w:rFonts w:ascii="Verdana" w:hAnsi="Verdana"/>
          <w:sz w:val="22"/>
          <w:szCs w:val="22"/>
        </w:rPr>
        <w:t>Providing on-going assistance and advice to lead partners and partners on the implementation of their project.</w:t>
      </w:r>
    </w:p>
    <w:p w:rsidR="00E21452" w:rsidRPr="007E33E3" w:rsidRDefault="00E21452" w:rsidP="00D67ECF">
      <w:pPr>
        <w:numPr>
          <w:ilvl w:val="0"/>
          <w:numId w:val="41"/>
        </w:numPr>
        <w:spacing w:after="120" w:line="276" w:lineRule="auto"/>
        <w:ind w:left="714" w:right="567" w:hanging="357"/>
        <w:contextualSpacing/>
        <w:jc w:val="both"/>
        <w:rPr>
          <w:rFonts w:ascii="Verdana" w:hAnsi="Verdana"/>
          <w:sz w:val="22"/>
          <w:szCs w:val="22"/>
        </w:rPr>
      </w:pPr>
      <w:r w:rsidRPr="007E33E3">
        <w:rPr>
          <w:rFonts w:ascii="Verdana" w:hAnsi="Verdana"/>
          <w:sz w:val="22"/>
          <w:szCs w:val="22"/>
        </w:rPr>
        <w:t>Participation of personnel of the Joint Secretariat in project related meetings and events to address project progress, outputs and results as well as obstacles in the implementation.</w:t>
      </w:r>
    </w:p>
    <w:p w:rsidR="00E21452" w:rsidRPr="007E33E3" w:rsidRDefault="00E21452" w:rsidP="003F234F">
      <w:pPr>
        <w:spacing w:after="120" w:line="276" w:lineRule="auto"/>
        <w:ind w:right="566"/>
        <w:contextualSpacing/>
        <w:jc w:val="both"/>
        <w:rPr>
          <w:rFonts w:ascii="Verdana" w:hAnsi="Verdana"/>
          <w:sz w:val="22"/>
          <w:szCs w:val="22"/>
        </w:rPr>
      </w:pPr>
    </w:p>
    <w:p w:rsidR="00E21452" w:rsidRPr="007E33E3" w:rsidRDefault="00E21452" w:rsidP="003F234F">
      <w:pPr>
        <w:spacing w:after="120" w:line="276" w:lineRule="auto"/>
        <w:ind w:right="566"/>
        <w:contextualSpacing/>
        <w:jc w:val="both"/>
        <w:rPr>
          <w:rFonts w:ascii="Verdana" w:hAnsi="Verdana"/>
          <w:sz w:val="22"/>
          <w:szCs w:val="22"/>
        </w:rPr>
      </w:pPr>
      <w:r w:rsidRPr="007E33E3">
        <w:rPr>
          <w:rFonts w:ascii="Verdana" w:hAnsi="Verdana"/>
          <w:sz w:val="22"/>
          <w:szCs w:val="22"/>
        </w:rPr>
        <w:t xml:space="preserve">Information about the activities of the programme </w:t>
      </w:r>
    </w:p>
    <w:p w:rsidR="00E21452" w:rsidRPr="007E33E3" w:rsidRDefault="00E21452" w:rsidP="00D67ECF">
      <w:pPr>
        <w:pStyle w:val="Paragraphedeliste3"/>
        <w:numPr>
          <w:ilvl w:val="0"/>
          <w:numId w:val="42"/>
        </w:numPr>
        <w:spacing w:after="120"/>
        <w:ind w:left="714" w:right="567" w:hanging="357"/>
        <w:jc w:val="both"/>
        <w:rPr>
          <w:rFonts w:ascii="Verdana" w:hAnsi="Verdana"/>
        </w:rPr>
      </w:pPr>
      <w:r w:rsidRPr="007E33E3">
        <w:rPr>
          <w:rFonts w:ascii="Verdana" w:hAnsi="Verdana"/>
        </w:rPr>
        <w:t xml:space="preserve">Dissemination of information among partners in the programme and beyond by means of digitalized and written outputs. </w:t>
      </w:r>
    </w:p>
    <w:p w:rsidR="00E21452" w:rsidRDefault="00E21452" w:rsidP="003F234F">
      <w:pPr>
        <w:spacing w:after="120" w:line="276" w:lineRule="auto"/>
        <w:ind w:right="566"/>
        <w:contextualSpacing/>
        <w:jc w:val="both"/>
        <w:rPr>
          <w:rFonts w:ascii="Verdana" w:hAnsi="Verdana"/>
          <w:sz w:val="22"/>
          <w:szCs w:val="22"/>
        </w:rPr>
      </w:pPr>
    </w:p>
    <w:p w:rsidR="008B00B7" w:rsidRPr="007E33E3" w:rsidRDefault="008B00B7" w:rsidP="003F234F">
      <w:pPr>
        <w:spacing w:after="120" w:line="276" w:lineRule="auto"/>
        <w:ind w:right="566"/>
        <w:contextualSpacing/>
        <w:jc w:val="both"/>
        <w:rPr>
          <w:rFonts w:ascii="Verdana" w:hAnsi="Verdana"/>
          <w:sz w:val="22"/>
          <w:szCs w:val="22"/>
        </w:rPr>
      </w:pPr>
    </w:p>
    <w:p w:rsidR="00E21452" w:rsidRPr="007E33E3" w:rsidRDefault="00B21572" w:rsidP="003F234F">
      <w:pPr>
        <w:spacing w:after="120" w:line="276" w:lineRule="auto"/>
        <w:ind w:right="566"/>
        <w:contextualSpacing/>
        <w:rPr>
          <w:rFonts w:ascii="Verdana" w:hAnsi="Verdana"/>
          <w:b/>
          <w:i/>
          <w:sz w:val="22"/>
          <w:szCs w:val="22"/>
        </w:rPr>
      </w:pPr>
      <w:r w:rsidRPr="007E33E3">
        <w:rPr>
          <w:rFonts w:ascii="Verdana" w:hAnsi="Verdana"/>
          <w:b/>
          <w:sz w:val="22"/>
          <w:szCs w:val="22"/>
        </w:rPr>
        <w:t>2.</w:t>
      </w:r>
      <w:r w:rsidR="008F49F8" w:rsidRPr="007E33E3">
        <w:rPr>
          <w:rFonts w:ascii="Verdana" w:hAnsi="Verdana"/>
          <w:b/>
          <w:sz w:val="22"/>
          <w:szCs w:val="22"/>
        </w:rPr>
        <w:t>B.3.2</w:t>
      </w:r>
      <w:r w:rsidR="00E21452" w:rsidRPr="007E33E3">
        <w:rPr>
          <w:rFonts w:ascii="Verdana" w:hAnsi="Verdana"/>
          <w:b/>
          <w:sz w:val="22"/>
          <w:szCs w:val="22"/>
        </w:rPr>
        <w:t xml:space="preserve"> Output indicators - Article 7 (2) (c) (iv) ETC Regulation</w:t>
      </w:r>
    </w:p>
    <w:p w:rsidR="00E21452" w:rsidRDefault="00E21452" w:rsidP="003F234F">
      <w:pPr>
        <w:spacing w:after="120" w:line="276" w:lineRule="auto"/>
        <w:ind w:right="566"/>
        <w:contextualSpacing/>
        <w:jc w:val="both"/>
        <w:rPr>
          <w:rFonts w:ascii="Verdana" w:hAnsi="Verdana"/>
          <w:sz w:val="22"/>
          <w:szCs w:val="22"/>
        </w:rPr>
      </w:pPr>
    </w:p>
    <w:p w:rsidR="008B00B7" w:rsidRPr="007E33E3" w:rsidRDefault="008B00B7" w:rsidP="003F234F">
      <w:pPr>
        <w:spacing w:after="120" w:line="276" w:lineRule="auto"/>
        <w:ind w:right="566"/>
        <w:contextualSpacing/>
        <w:jc w:val="both"/>
        <w:rPr>
          <w:rFonts w:ascii="Verdana" w:hAnsi="Verdana"/>
          <w:sz w:val="22"/>
          <w:szCs w:val="22"/>
        </w:rPr>
      </w:pPr>
    </w:p>
    <w:p w:rsidR="00E21452" w:rsidRPr="007E33E3" w:rsidRDefault="00E21452" w:rsidP="003F234F">
      <w:pPr>
        <w:spacing w:after="120" w:line="276" w:lineRule="auto"/>
        <w:ind w:right="566"/>
        <w:contextualSpacing/>
        <w:jc w:val="both"/>
        <w:rPr>
          <w:rFonts w:ascii="Verdana" w:hAnsi="Verdana"/>
          <w:b/>
          <w:sz w:val="22"/>
          <w:szCs w:val="22"/>
        </w:rPr>
      </w:pPr>
      <w:r w:rsidRPr="007E33E3">
        <w:rPr>
          <w:rFonts w:ascii="Verdana" w:hAnsi="Verdana"/>
          <w:b/>
          <w:sz w:val="22"/>
          <w:szCs w:val="22"/>
        </w:rPr>
        <w:t>Table 12: Common and Programme Specific Output Indicators</w:t>
      </w:r>
    </w:p>
    <w:p w:rsidR="00E21452" w:rsidRPr="004F5F2B" w:rsidRDefault="00E21452" w:rsidP="00E21452">
      <w:pPr>
        <w:ind w:right="566"/>
        <w:jc w:val="both"/>
        <w:rPr>
          <w:rFonts w:ascii="Verdana" w:hAnsi="Verdana"/>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3"/>
        <w:gridCol w:w="2680"/>
        <w:gridCol w:w="2411"/>
        <w:gridCol w:w="1274"/>
        <w:gridCol w:w="2411"/>
      </w:tblGrid>
      <w:tr w:rsidR="00E21452" w:rsidRPr="007E33E3" w:rsidTr="007E33E3">
        <w:trPr>
          <w:trHeight w:val="870"/>
        </w:trPr>
        <w:tc>
          <w:tcPr>
            <w:tcW w:w="563" w:type="pct"/>
            <w:tcBorders>
              <w:top w:val="single" w:sz="4" w:space="0" w:color="auto"/>
              <w:left w:val="single" w:sz="4" w:space="0" w:color="auto"/>
              <w:bottom w:val="single" w:sz="4" w:space="0" w:color="auto"/>
              <w:right w:val="single" w:sz="4" w:space="0" w:color="auto"/>
            </w:tcBorders>
            <w:vAlign w:val="center"/>
          </w:tcPr>
          <w:p w:rsidR="00E21452" w:rsidRPr="007E33E3" w:rsidRDefault="00E21452" w:rsidP="007E33E3">
            <w:pPr>
              <w:jc w:val="center"/>
              <w:rPr>
                <w:rFonts w:ascii="Verdana" w:hAnsi="Verdana"/>
                <w:b/>
                <w:i/>
                <w:sz w:val="22"/>
                <w:szCs w:val="22"/>
              </w:rPr>
            </w:pPr>
            <w:r w:rsidRPr="007E33E3">
              <w:rPr>
                <w:rFonts w:ascii="Verdana" w:hAnsi="Verdana"/>
                <w:b/>
                <w:i/>
                <w:sz w:val="22"/>
                <w:szCs w:val="22"/>
              </w:rPr>
              <w:t>ID</w:t>
            </w:r>
          </w:p>
        </w:tc>
        <w:tc>
          <w:tcPr>
            <w:tcW w:w="1355" w:type="pct"/>
            <w:tcBorders>
              <w:top w:val="single" w:sz="4" w:space="0" w:color="auto"/>
              <w:left w:val="single" w:sz="4" w:space="0" w:color="auto"/>
              <w:bottom w:val="single" w:sz="4" w:space="0" w:color="auto"/>
              <w:right w:val="single" w:sz="4" w:space="0" w:color="auto"/>
            </w:tcBorders>
            <w:vAlign w:val="center"/>
          </w:tcPr>
          <w:p w:rsidR="00E21452" w:rsidRPr="007E33E3" w:rsidRDefault="00E21452" w:rsidP="007E33E3">
            <w:pPr>
              <w:jc w:val="center"/>
              <w:rPr>
                <w:rFonts w:ascii="Verdana" w:hAnsi="Verdana"/>
                <w:b/>
                <w:i/>
                <w:sz w:val="22"/>
                <w:szCs w:val="22"/>
              </w:rPr>
            </w:pPr>
            <w:r w:rsidRPr="007E33E3">
              <w:rPr>
                <w:rFonts w:ascii="Verdana" w:hAnsi="Verdana"/>
                <w:b/>
                <w:i/>
                <w:sz w:val="22"/>
                <w:szCs w:val="22"/>
              </w:rPr>
              <w:t>Indicator</w:t>
            </w:r>
          </w:p>
        </w:tc>
        <w:tc>
          <w:tcPr>
            <w:tcW w:w="1219" w:type="pct"/>
            <w:tcBorders>
              <w:top w:val="single" w:sz="4" w:space="0" w:color="auto"/>
              <w:left w:val="single" w:sz="4" w:space="0" w:color="auto"/>
              <w:bottom w:val="single" w:sz="4" w:space="0" w:color="auto"/>
              <w:right w:val="single" w:sz="4" w:space="0" w:color="auto"/>
            </w:tcBorders>
            <w:vAlign w:val="center"/>
          </w:tcPr>
          <w:p w:rsidR="00DA4B46" w:rsidRPr="007E33E3" w:rsidRDefault="00E21452" w:rsidP="007E33E3">
            <w:pPr>
              <w:jc w:val="center"/>
              <w:rPr>
                <w:rFonts w:ascii="Verdana" w:hAnsi="Verdana"/>
                <w:b/>
                <w:i/>
                <w:sz w:val="22"/>
                <w:szCs w:val="22"/>
              </w:rPr>
            </w:pPr>
            <w:r w:rsidRPr="007E33E3">
              <w:rPr>
                <w:rFonts w:ascii="Verdana" w:hAnsi="Verdana"/>
                <w:b/>
                <w:i/>
                <w:sz w:val="22"/>
                <w:szCs w:val="22"/>
              </w:rPr>
              <w:t>Measurement</w:t>
            </w:r>
          </w:p>
          <w:p w:rsidR="00E21452" w:rsidRPr="007E33E3" w:rsidRDefault="00E21452" w:rsidP="007E33E3">
            <w:pPr>
              <w:jc w:val="center"/>
              <w:rPr>
                <w:rFonts w:ascii="Verdana" w:hAnsi="Verdana"/>
                <w:b/>
                <w:i/>
                <w:sz w:val="22"/>
                <w:szCs w:val="22"/>
              </w:rPr>
            </w:pPr>
            <w:r w:rsidRPr="007E33E3">
              <w:rPr>
                <w:rFonts w:ascii="Verdana" w:hAnsi="Verdana"/>
                <w:b/>
                <w:i/>
                <w:sz w:val="22"/>
                <w:szCs w:val="22"/>
              </w:rPr>
              <w:t>Unit</w:t>
            </w:r>
          </w:p>
        </w:tc>
        <w:tc>
          <w:tcPr>
            <w:tcW w:w="644" w:type="pct"/>
            <w:tcBorders>
              <w:top w:val="single" w:sz="4" w:space="0" w:color="auto"/>
              <w:left w:val="single" w:sz="4" w:space="0" w:color="auto"/>
              <w:bottom w:val="single" w:sz="4" w:space="0" w:color="auto"/>
              <w:right w:val="single" w:sz="4" w:space="0" w:color="auto"/>
            </w:tcBorders>
            <w:vAlign w:val="center"/>
          </w:tcPr>
          <w:p w:rsidR="00E21452" w:rsidRPr="007E33E3" w:rsidRDefault="00E21452" w:rsidP="007E33E3">
            <w:pPr>
              <w:jc w:val="center"/>
              <w:rPr>
                <w:rFonts w:ascii="Verdana" w:hAnsi="Verdana"/>
                <w:b/>
                <w:i/>
                <w:sz w:val="22"/>
                <w:szCs w:val="22"/>
              </w:rPr>
            </w:pPr>
            <w:r w:rsidRPr="007E33E3">
              <w:rPr>
                <w:rFonts w:ascii="Verdana" w:hAnsi="Verdana"/>
                <w:b/>
                <w:i/>
                <w:sz w:val="22"/>
                <w:szCs w:val="22"/>
              </w:rPr>
              <w:t>Target Value</w:t>
            </w:r>
          </w:p>
          <w:p w:rsidR="00E21452" w:rsidRPr="007E33E3" w:rsidRDefault="00E21452" w:rsidP="007E33E3">
            <w:pPr>
              <w:jc w:val="center"/>
              <w:rPr>
                <w:rFonts w:ascii="Verdana" w:hAnsi="Verdana"/>
                <w:b/>
                <w:i/>
                <w:sz w:val="22"/>
                <w:szCs w:val="22"/>
              </w:rPr>
            </w:pPr>
            <w:r w:rsidRPr="007E33E3">
              <w:rPr>
                <w:rFonts w:ascii="Verdana" w:hAnsi="Verdana"/>
                <w:b/>
                <w:i/>
                <w:sz w:val="22"/>
                <w:szCs w:val="22"/>
              </w:rPr>
              <w:t>2022</w:t>
            </w:r>
          </w:p>
        </w:tc>
        <w:tc>
          <w:tcPr>
            <w:tcW w:w="1219" w:type="pct"/>
            <w:tcBorders>
              <w:top w:val="single" w:sz="4" w:space="0" w:color="auto"/>
              <w:left w:val="single" w:sz="4" w:space="0" w:color="auto"/>
              <w:bottom w:val="single" w:sz="4" w:space="0" w:color="auto"/>
              <w:right w:val="single" w:sz="4" w:space="0" w:color="auto"/>
            </w:tcBorders>
            <w:vAlign w:val="center"/>
          </w:tcPr>
          <w:p w:rsidR="00E21452" w:rsidRPr="007E33E3" w:rsidRDefault="00E21452" w:rsidP="007E33E3">
            <w:pPr>
              <w:jc w:val="center"/>
              <w:rPr>
                <w:rFonts w:ascii="Verdana" w:hAnsi="Verdana"/>
                <w:b/>
                <w:i/>
                <w:sz w:val="22"/>
                <w:szCs w:val="22"/>
              </w:rPr>
            </w:pPr>
            <w:r w:rsidRPr="007E33E3">
              <w:rPr>
                <w:rFonts w:ascii="Verdana" w:hAnsi="Verdana"/>
                <w:b/>
                <w:i/>
                <w:sz w:val="22"/>
                <w:szCs w:val="22"/>
              </w:rPr>
              <w:t>Source of data</w:t>
            </w:r>
          </w:p>
        </w:tc>
      </w:tr>
      <w:tr w:rsidR="00E21452" w:rsidRPr="007E33E3" w:rsidTr="00C4514D">
        <w:trPr>
          <w:trHeight w:val="618"/>
        </w:trPr>
        <w:tc>
          <w:tcPr>
            <w:tcW w:w="563" w:type="pct"/>
            <w:tcBorders>
              <w:top w:val="single" w:sz="4" w:space="0" w:color="auto"/>
              <w:left w:val="single" w:sz="4" w:space="0" w:color="auto"/>
              <w:bottom w:val="single" w:sz="4" w:space="0" w:color="auto"/>
              <w:right w:val="single" w:sz="4" w:space="0" w:color="auto"/>
            </w:tcBorders>
          </w:tcPr>
          <w:p w:rsidR="00E21452" w:rsidRPr="007E33E3" w:rsidRDefault="00E21452" w:rsidP="00C4514D">
            <w:pPr>
              <w:spacing w:before="120" w:after="120"/>
              <w:jc w:val="center"/>
              <w:rPr>
                <w:rFonts w:ascii="Verdana" w:hAnsi="Verdana"/>
                <w:b/>
                <w:i/>
                <w:sz w:val="22"/>
                <w:szCs w:val="22"/>
              </w:rPr>
            </w:pPr>
            <w:r w:rsidRPr="007E33E3">
              <w:rPr>
                <w:rFonts w:ascii="Verdana" w:hAnsi="Verdana"/>
                <w:b/>
                <w:i/>
                <w:sz w:val="22"/>
                <w:szCs w:val="22"/>
              </w:rPr>
              <w:t>1</w:t>
            </w:r>
          </w:p>
        </w:tc>
        <w:tc>
          <w:tcPr>
            <w:tcW w:w="1355" w:type="pct"/>
            <w:tcBorders>
              <w:top w:val="single" w:sz="4" w:space="0" w:color="auto"/>
              <w:left w:val="single" w:sz="4" w:space="0" w:color="auto"/>
              <w:bottom w:val="single" w:sz="4" w:space="0" w:color="auto"/>
              <w:right w:val="single" w:sz="4" w:space="0" w:color="auto"/>
            </w:tcBorders>
          </w:tcPr>
          <w:p w:rsidR="00E21452" w:rsidRPr="007E33E3" w:rsidRDefault="00E21452" w:rsidP="00C4514D">
            <w:pPr>
              <w:spacing w:before="120" w:after="120"/>
              <w:rPr>
                <w:rFonts w:ascii="Verdana" w:hAnsi="Verdana"/>
                <w:b/>
                <w:i/>
                <w:sz w:val="22"/>
                <w:szCs w:val="22"/>
              </w:rPr>
            </w:pPr>
            <w:r w:rsidRPr="007E33E3">
              <w:rPr>
                <w:rFonts w:ascii="Verdana" w:hAnsi="Verdana"/>
                <w:i/>
                <w:sz w:val="22"/>
                <w:szCs w:val="22"/>
              </w:rPr>
              <w:t>Number of Monitoring Committee meetings organized</w:t>
            </w:r>
          </w:p>
        </w:tc>
        <w:tc>
          <w:tcPr>
            <w:tcW w:w="1219" w:type="pct"/>
            <w:tcBorders>
              <w:top w:val="single" w:sz="4" w:space="0" w:color="auto"/>
              <w:left w:val="single" w:sz="4" w:space="0" w:color="auto"/>
              <w:bottom w:val="single" w:sz="4" w:space="0" w:color="auto"/>
              <w:right w:val="single" w:sz="4" w:space="0" w:color="auto"/>
            </w:tcBorders>
          </w:tcPr>
          <w:p w:rsidR="00E21452" w:rsidRPr="007E33E3" w:rsidRDefault="00E21452" w:rsidP="00C4514D">
            <w:pPr>
              <w:spacing w:before="120" w:after="120"/>
              <w:jc w:val="center"/>
              <w:rPr>
                <w:rFonts w:ascii="Verdana" w:hAnsi="Verdana"/>
                <w:i/>
                <w:sz w:val="22"/>
                <w:szCs w:val="22"/>
              </w:rPr>
            </w:pPr>
            <w:r w:rsidRPr="007E33E3">
              <w:rPr>
                <w:rFonts w:ascii="Verdana" w:hAnsi="Verdana"/>
                <w:i/>
                <w:sz w:val="22"/>
                <w:szCs w:val="22"/>
              </w:rPr>
              <w:t>Number</w:t>
            </w:r>
          </w:p>
        </w:tc>
        <w:tc>
          <w:tcPr>
            <w:tcW w:w="644" w:type="pct"/>
            <w:tcBorders>
              <w:top w:val="single" w:sz="4" w:space="0" w:color="auto"/>
              <w:left w:val="single" w:sz="4" w:space="0" w:color="auto"/>
              <w:bottom w:val="single" w:sz="4" w:space="0" w:color="auto"/>
              <w:right w:val="single" w:sz="4" w:space="0" w:color="auto"/>
            </w:tcBorders>
          </w:tcPr>
          <w:p w:rsidR="00E21452" w:rsidRPr="007E33E3" w:rsidRDefault="00E21452" w:rsidP="00C4514D">
            <w:pPr>
              <w:spacing w:before="120" w:after="120"/>
              <w:jc w:val="center"/>
              <w:rPr>
                <w:rFonts w:ascii="Verdana" w:hAnsi="Verdana"/>
                <w:i/>
                <w:sz w:val="22"/>
                <w:szCs w:val="22"/>
              </w:rPr>
            </w:pPr>
            <w:r w:rsidRPr="007E33E3">
              <w:rPr>
                <w:rFonts w:ascii="Verdana" w:hAnsi="Verdana"/>
                <w:i/>
                <w:sz w:val="22"/>
                <w:szCs w:val="22"/>
              </w:rPr>
              <w:t>20</w:t>
            </w:r>
          </w:p>
        </w:tc>
        <w:tc>
          <w:tcPr>
            <w:tcW w:w="1219" w:type="pct"/>
            <w:tcBorders>
              <w:top w:val="single" w:sz="4" w:space="0" w:color="auto"/>
              <w:left w:val="single" w:sz="4" w:space="0" w:color="auto"/>
              <w:bottom w:val="single" w:sz="4" w:space="0" w:color="auto"/>
              <w:right w:val="single" w:sz="4" w:space="0" w:color="auto"/>
            </w:tcBorders>
          </w:tcPr>
          <w:p w:rsidR="00E21452" w:rsidRPr="007E33E3" w:rsidRDefault="00E21452" w:rsidP="00C4514D">
            <w:pPr>
              <w:spacing w:before="120" w:after="120"/>
              <w:jc w:val="center"/>
              <w:rPr>
                <w:rFonts w:ascii="Verdana" w:hAnsi="Verdana"/>
                <w:b/>
                <w:i/>
                <w:sz w:val="22"/>
                <w:szCs w:val="22"/>
              </w:rPr>
            </w:pPr>
            <w:r w:rsidRPr="007E33E3">
              <w:rPr>
                <w:rFonts w:ascii="Verdana" w:hAnsi="Verdana"/>
                <w:i/>
                <w:sz w:val="22"/>
                <w:szCs w:val="22"/>
              </w:rPr>
              <w:t>Programme monitoring</w:t>
            </w:r>
          </w:p>
        </w:tc>
      </w:tr>
      <w:tr w:rsidR="00E21452" w:rsidRPr="007E33E3" w:rsidTr="00C4514D">
        <w:trPr>
          <w:trHeight w:val="420"/>
        </w:trPr>
        <w:tc>
          <w:tcPr>
            <w:tcW w:w="563" w:type="pct"/>
            <w:tcBorders>
              <w:top w:val="single" w:sz="4" w:space="0" w:color="auto"/>
              <w:left w:val="single" w:sz="4" w:space="0" w:color="auto"/>
              <w:bottom w:val="single" w:sz="4" w:space="0" w:color="auto"/>
              <w:right w:val="single" w:sz="4" w:space="0" w:color="auto"/>
            </w:tcBorders>
          </w:tcPr>
          <w:p w:rsidR="00E21452" w:rsidRPr="007E33E3" w:rsidRDefault="00E21452" w:rsidP="00C4514D">
            <w:pPr>
              <w:spacing w:before="120" w:after="120"/>
              <w:jc w:val="center"/>
              <w:rPr>
                <w:rFonts w:ascii="Verdana" w:hAnsi="Verdana"/>
                <w:b/>
                <w:i/>
                <w:sz w:val="22"/>
                <w:szCs w:val="22"/>
              </w:rPr>
            </w:pPr>
            <w:r w:rsidRPr="007E33E3">
              <w:rPr>
                <w:rFonts w:ascii="Verdana" w:hAnsi="Verdana"/>
                <w:b/>
                <w:i/>
                <w:sz w:val="22"/>
                <w:szCs w:val="22"/>
              </w:rPr>
              <w:t>2</w:t>
            </w:r>
          </w:p>
        </w:tc>
        <w:tc>
          <w:tcPr>
            <w:tcW w:w="1355" w:type="pct"/>
            <w:tcBorders>
              <w:top w:val="single" w:sz="4" w:space="0" w:color="auto"/>
              <w:left w:val="single" w:sz="4" w:space="0" w:color="auto"/>
              <w:bottom w:val="single" w:sz="4" w:space="0" w:color="auto"/>
              <w:right w:val="single" w:sz="4" w:space="0" w:color="auto"/>
            </w:tcBorders>
          </w:tcPr>
          <w:p w:rsidR="00E21452" w:rsidRPr="007E33E3" w:rsidRDefault="00E21452" w:rsidP="00C4514D">
            <w:pPr>
              <w:spacing w:before="120" w:after="120"/>
              <w:rPr>
                <w:rFonts w:ascii="Verdana" w:hAnsi="Verdana"/>
                <w:b/>
                <w:i/>
                <w:sz w:val="22"/>
                <w:szCs w:val="22"/>
              </w:rPr>
            </w:pPr>
            <w:r w:rsidRPr="007E33E3">
              <w:rPr>
                <w:rFonts w:ascii="Verdana" w:hAnsi="Verdana"/>
                <w:i/>
                <w:sz w:val="22"/>
                <w:szCs w:val="22"/>
              </w:rPr>
              <w:t>Number of Group of Auditors meetings organized</w:t>
            </w:r>
          </w:p>
        </w:tc>
        <w:tc>
          <w:tcPr>
            <w:tcW w:w="1219" w:type="pct"/>
            <w:tcBorders>
              <w:top w:val="single" w:sz="4" w:space="0" w:color="auto"/>
              <w:left w:val="single" w:sz="4" w:space="0" w:color="auto"/>
              <w:bottom w:val="single" w:sz="4" w:space="0" w:color="auto"/>
              <w:right w:val="single" w:sz="4" w:space="0" w:color="auto"/>
            </w:tcBorders>
          </w:tcPr>
          <w:p w:rsidR="00E21452" w:rsidRPr="007E33E3" w:rsidRDefault="00E21452" w:rsidP="00C4514D">
            <w:pPr>
              <w:spacing w:before="120" w:after="120"/>
              <w:jc w:val="center"/>
              <w:rPr>
                <w:rFonts w:ascii="Verdana" w:hAnsi="Verdana"/>
                <w:b/>
                <w:i/>
                <w:sz w:val="22"/>
                <w:szCs w:val="22"/>
              </w:rPr>
            </w:pPr>
            <w:r w:rsidRPr="007E33E3">
              <w:rPr>
                <w:rFonts w:ascii="Verdana" w:hAnsi="Verdana"/>
                <w:i/>
                <w:sz w:val="22"/>
                <w:szCs w:val="22"/>
              </w:rPr>
              <w:t>Number</w:t>
            </w:r>
          </w:p>
        </w:tc>
        <w:tc>
          <w:tcPr>
            <w:tcW w:w="644" w:type="pct"/>
            <w:tcBorders>
              <w:top w:val="single" w:sz="4" w:space="0" w:color="auto"/>
              <w:left w:val="single" w:sz="4" w:space="0" w:color="auto"/>
              <w:bottom w:val="single" w:sz="4" w:space="0" w:color="auto"/>
              <w:right w:val="single" w:sz="4" w:space="0" w:color="auto"/>
            </w:tcBorders>
          </w:tcPr>
          <w:p w:rsidR="00E21452" w:rsidRPr="007E33E3" w:rsidRDefault="00E21452" w:rsidP="00C4514D">
            <w:pPr>
              <w:spacing w:before="120" w:after="120"/>
              <w:jc w:val="center"/>
              <w:rPr>
                <w:rFonts w:ascii="Verdana" w:hAnsi="Verdana"/>
                <w:i/>
                <w:sz w:val="22"/>
                <w:szCs w:val="22"/>
              </w:rPr>
            </w:pPr>
            <w:r w:rsidRPr="007E33E3">
              <w:rPr>
                <w:rFonts w:ascii="Verdana" w:hAnsi="Verdana"/>
                <w:i/>
                <w:sz w:val="22"/>
                <w:szCs w:val="22"/>
              </w:rPr>
              <w:t>7</w:t>
            </w:r>
          </w:p>
        </w:tc>
        <w:tc>
          <w:tcPr>
            <w:tcW w:w="1219" w:type="pct"/>
            <w:tcBorders>
              <w:top w:val="single" w:sz="4" w:space="0" w:color="auto"/>
              <w:left w:val="single" w:sz="4" w:space="0" w:color="auto"/>
              <w:bottom w:val="single" w:sz="4" w:space="0" w:color="auto"/>
              <w:right w:val="single" w:sz="4" w:space="0" w:color="auto"/>
            </w:tcBorders>
          </w:tcPr>
          <w:p w:rsidR="00E21452" w:rsidRPr="007E33E3" w:rsidRDefault="00E21452" w:rsidP="00C4514D">
            <w:pPr>
              <w:spacing w:before="120" w:after="120"/>
              <w:jc w:val="center"/>
              <w:rPr>
                <w:rFonts w:ascii="Verdana" w:hAnsi="Verdana"/>
                <w:b/>
                <w:i/>
                <w:sz w:val="22"/>
                <w:szCs w:val="22"/>
              </w:rPr>
            </w:pPr>
            <w:r w:rsidRPr="007E33E3">
              <w:rPr>
                <w:rFonts w:ascii="Verdana" w:hAnsi="Verdana"/>
                <w:i/>
                <w:sz w:val="22"/>
                <w:szCs w:val="22"/>
              </w:rPr>
              <w:t>Programme monitoring</w:t>
            </w:r>
          </w:p>
        </w:tc>
      </w:tr>
      <w:tr w:rsidR="00E21452" w:rsidRPr="007E33E3" w:rsidTr="00C4514D">
        <w:trPr>
          <w:trHeight w:val="420"/>
        </w:trPr>
        <w:tc>
          <w:tcPr>
            <w:tcW w:w="563" w:type="pct"/>
            <w:tcBorders>
              <w:top w:val="single" w:sz="4" w:space="0" w:color="auto"/>
              <w:left w:val="single" w:sz="4" w:space="0" w:color="auto"/>
              <w:bottom w:val="single" w:sz="4" w:space="0" w:color="auto"/>
              <w:right w:val="single" w:sz="4" w:space="0" w:color="auto"/>
            </w:tcBorders>
          </w:tcPr>
          <w:p w:rsidR="00E21452" w:rsidRPr="007E33E3" w:rsidRDefault="00E21452" w:rsidP="00C4514D">
            <w:pPr>
              <w:spacing w:before="120" w:after="120"/>
              <w:jc w:val="center"/>
              <w:rPr>
                <w:rFonts w:ascii="Verdana" w:hAnsi="Verdana"/>
                <w:b/>
                <w:i/>
                <w:sz w:val="22"/>
                <w:szCs w:val="22"/>
              </w:rPr>
            </w:pPr>
            <w:r w:rsidRPr="007E33E3">
              <w:rPr>
                <w:rFonts w:ascii="Verdana" w:hAnsi="Verdana"/>
                <w:b/>
                <w:i/>
                <w:sz w:val="22"/>
                <w:szCs w:val="22"/>
              </w:rPr>
              <w:t>3</w:t>
            </w:r>
          </w:p>
        </w:tc>
        <w:tc>
          <w:tcPr>
            <w:tcW w:w="1355" w:type="pct"/>
            <w:tcBorders>
              <w:top w:val="single" w:sz="4" w:space="0" w:color="auto"/>
              <w:left w:val="single" w:sz="4" w:space="0" w:color="auto"/>
              <w:bottom w:val="single" w:sz="4" w:space="0" w:color="auto"/>
              <w:right w:val="single" w:sz="4" w:space="0" w:color="auto"/>
            </w:tcBorders>
          </w:tcPr>
          <w:p w:rsidR="00E21452" w:rsidRPr="007E33E3" w:rsidRDefault="00E21452" w:rsidP="00C4514D">
            <w:pPr>
              <w:spacing w:before="120" w:after="120"/>
              <w:rPr>
                <w:rFonts w:ascii="Verdana" w:hAnsi="Verdana"/>
                <w:i/>
                <w:sz w:val="22"/>
                <w:szCs w:val="22"/>
              </w:rPr>
            </w:pPr>
            <w:r w:rsidRPr="007E33E3">
              <w:rPr>
                <w:rFonts w:ascii="Verdana" w:hAnsi="Verdana"/>
                <w:i/>
                <w:sz w:val="22"/>
                <w:szCs w:val="22"/>
              </w:rPr>
              <w:t>Number of Annual Implementation reports produced</w:t>
            </w:r>
          </w:p>
        </w:tc>
        <w:tc>
          <w:tcPr>
            <w:tcW w:w="1219" w:type="pct"/>
            <w:tcBorders>
              <w:top w:val="single" w:sz="4" w:space="0" w:color="auto"/>
              <w:left w:val="single" w:sz="4" w:space="0" w:color="auto"/>
              <w:bottom w:val="single" w:sz="4" w:space="0" w:color="auto"/>
              <w:right w:val="single" w:sz="4" w:space="0" w:color="auto"/>
            </w:tcBorders>
          </w:tcPr>
          <w:p w:rsidR="00E21452" w:rsidRPr="007E33E3" w:rsidRDefault="00E21452" w:rsidP="00C4514D">
            <w:pPr>
              <w:spacing w:before="120" w:after="120"/>
              <w:jc w:val="center"/>
              <w:rPr>
                <w:rFonts w:ascii="Verdana" w:hAnsi="Verdana"/>
                <w:i/>
                <w:sz w:val="22"/>
                <w:szCs w:val="22"/>
              </w:rPr>
            </w:pPr>
            <w:r w:rsidRPr="007E33E3">
              <w:rPr>
                <w:rFonts w:ascii="Verdana" w:hAnsi="Verdana"/>
                <w:i/>
                <w:sz w:val="22"/>
                <w:szCs w:val="22"/>
              </w:rPr>
              <w:t>Number</w:t>
            </w:r>
          </w:p>
        </w:tc>
        <w:tc>
          <w:tcPr>
            <w:tcW w:w="644" w:type="pct"/>
            <w:tcBorders>
              <w:top w:val="single" w:sz="4" w:space="0" w:color="auto"/>
              <w:left w:val="single" w:sz="4" w:space="0" w:color="auto"/>
              <w:bottom w:val="single" w:sz="4" w:space="0" w:color="auto"/>
              <w:right w:val="single" w:sz="4" w:space="0" w:color="auto"/>
            </w:tcBorders>
          </w:tcPr>
          <w:p w:rsidR="00E21452" w:rsidRPr="007E33E3" w:rsidRDefault="00E21452" w:rsidP="00C4514D">
            <w:pPr>
              <w:spacing w:before="120" w:after="120"/>
              <w:jc w:val="center"/>
              <w:rPr>
                <w:rFonts w:ascii="Verdana" w:hAnsi="Verdana"/>
                <w:i/>
                <w:sz w:val="22"/>
                <w:szCs w:val="22"/>
              </w:rPr>
            </w:pPr>
            <w:r w:rsidRPr="007E33E3">
              <w:rPr>
                <w:rFonts w:ascii="Verdana" w:hAnsi="Verdana"/>
                <w:i/>
                <w:sz w:val="22"/>
                <w:szCs w:val="22"/>
              </w:rPr>
              <w:t>6</w:t>
            </w:r>
          </w:p>
        </w:tc>
        <w:tc>
          <w:tcPr>
            <w:tcW w:w="1219" w:type="pct"/>
            <w:tcBorders>
              <w:top w:val="single" w:sz="4" w:space="0" w:color="auto"/>
              <w:left w:val="single" w:sz="4" w:space="0" w:color="auto"/>
              <w:bottom w:val="single" w:sz="4" w:space="0" w:color="auto"/>
              <w:right w:val="single" w:sz="4" w:space="0" w:color="auto"/>
            </w:tcBorders>
          </w:tcPr>
          <w:p w:rsidR="00E21452" w:rsidRPr="007E33E3" w:rsidRDefault="00E21452" w:rsidP="00C4514D">
            <w:pPr>
              <w:spacing w:before="120" w:after="120"/>
              <w:jc w:val="center"/>
              <w:rPr>
                <w:rFonts w:ascii="Verdana" w:hAnsi="Verdana"/>
                <w:b/>
                <w:i/>
                <w:sz w:val="22"/>
                <w:szCs w:val="22"/>
              </w:rPr>
            </w:pPr>
            <w:r w:rsidRPr="007E33E3">
              <w:rPr>
                <w:rFonts w:ascii="Verdana" w:hAnsi="Verdana"/>
                <w:i/>
                <w:sz w:val="22"/>
                <w:szCs w:val="22"/>
              </w:rPr>
              <w:t>Programme monitoring</w:t>
            </w:r>
          </w:p>
        </w:tc>
      </w:tr>
    </w:tbl>
    <w:p w:rsidR="008F49F8" w:rsidRPr="004F5F2B" w:rsidRDefault="008F49F8">
      <w:pPr>
        <w:spacing w:after="200" w:line="276" w:lineRule="auto"/>
        <w:rPr>
          <w:rFonts w:ascii="Verdana" w:hAnsi="Verdana"/>
          <w:b/>
        </w:rPr>
      </w:pPr>
      <w:r w:rsidRPr="004F5F2B">
        <w:rPr>
          <w:rFonts w:ascii="Verdana" w:hAnsi="Verdana"/>
          <w:b/>
        </w:rPr>
        <w:br w:type="page"/>
      </w:r>
    </w:p>
    <w:p w:rsidR="00E21452" w:rsidRPr="00C4514D" w:rsidRDefault="00B21572" w:rsidP="00D63D58">
      <w:pPr>
        <w:pStyle w:val="2"/>
        <w:rPr>
          <w:sz w:val="22"/>
          <w:szCs w:val="22"/>
        </w:rPr>
      </w:pPr>
      <w:bookmarkStart w:id="25" w:name="_Toc384648448"/>
      <w:r w:rsidRPr="00C4514D">
        <w:rPr>
          <w:sz w:val="22"/>
          <w:szCs w:val="22"/>
        </w:rPr>
        <w:t>2.</w:t>
      </w:r>
      <w:r w:rsidR="008F49F8" w:rsidRPr="00C4514D">
        <w:rPr>
          <w:sz w:val="22"/>
          <w:szCs w:val="22"/>
        </w:rPr>
        <w:t>B.4</w:t>
      </w:r>
      <w:r w:rsidR="007B5752">
        <w:rPr>
          <w:sz w:val="22"/>
          <w:szCs w:val="22"/>
        </w:rPr>
        <w:t>.</w:t>
      </w:r>
      <w:r w:rsidR="007B5752">
        <w:rPr>
          <w:sz w:val="22"/>
          <w:szCs w:val="22"/>
        </w:rPr>
        <w:tab/>
      </w:r>
      <w:r w:rsidR="00E21452" w:rsidRPr="00C4514D">
        <w:rPr>
          <w:sz w:val="22"/>
          <w:szCs w:val="22"/>
        </w:rPr>
        <w:t>Categories of Intervention (Article 7(2) (c) (v) ETC Regulation.</w:t>
      </w:r>
      <w:bookmarkEnd w:id="25"/>
    </w:p>
    <w:p w:rsidR="00E21452" w:rsidRPr="00C4514D" w:rsidRDefault="00E21452" w:rsidP="00E21452">
      <w:pPr>
        <w:ind w:right="566"/>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27"/>
        <w:gridCol w:w="3167"/>
      </w:tblGrid>
      <w:tr w:rsidR="00E21452" w:rsidRPr="00C4514D" w:rsidTr="00DA4B46">
        <w:tc>
          <w:tcPr>
            <w:tcW w:w="10384" w:type="dxa"/>
            <w:gridSpan w:val="3"/>
          </w:tcPr>
          <w:p w:rsidR="00E21452" w:rsidRPr="00C4514D" w:rsidRDefault="00E21452" w:rsidP="00E21452">
            <w:pPr>
              <w:ind w:right="566"/>
              <w:jc w:val="both"/>
              <w:rPr>
                <w:rFonts w:ascii="Verdana" w:hAnsi="Verdana"/>
                <w:b/>
                <w:sz w:val="22"/>
                <w:szCs w:val="22"/>
              </w:rPr>
            </w:pPr>
            <w:r w:rsidRPr="00C4514D">
              <w:rPr>
                <w:rFonts w:ascii="Verdana" w:hAnsi="Verdana"/>
                <w:b/>
                <w:sz w:val="22"/>
                <w:szCs w:val="22"/>
              </w:rPr>
              <w:t>Table 12 Dimension 1 Intervention Field</w:t>
            </w:r>
          </w:p>
        </w:tc>
      </w:tr>
      <w:tr w:rsidR="00E21452" w:rsidRPr="00C4514D" w:rsidTr="00DA4B46">
        <w:tc>
          <w:tcPr>
            <w:tcW w:w="3461" w:type="dxa"/>
          </w:tcPr>
          <w:p w:rsidR="00E21452" w:rsidRPr="00C4514D" w:rsidRDefault="00E21452" w:rsidP="00E21452">
            <w:pPr>
              <w:ind w:right="566"/>
              <w:jc w:val="both"/>
              <w:rPr>
                <w:rFonts w:ascii="Verdana" w:hAnsi="Verdana"/>
                <w:b/>
                <w:sz w:val="22"/>
                <w:szCs w:val="22"/>
              </w:rPr>
            </w:pPr>
            <w:r w:rsidRPr="00C4514D">
              <w:rPr>
                <w:rFonts w:ascii="Verdana" w:hAnsi="Verdana"/>
                <w:b/>
                <w:sz w:val="22"/>
                <w:szCs w:val="22"/>
              </w:rPr>
              <w:t>Priority Axis</w:t>
            </w:r>
          </w:p>
        </w:tc>
        <w:tc>
          <w:tcPr>
            <w:tcW w:w="3461" w:type="dxa"/>
          </w:tcPr>
          <w:p w:rsidR="00E21452" w:rsidRPr="00C4514D" w:rsidRDefault="00E21452" w:rsidP="00E21452">
            <w:pPr>
              <w:ind w:right="566"/>
              <w:jc w:val="both"/>
              <w:rPr>
                <w:rFonts w:ascii="Verdana" w:hAnsi="Verdana"/>
                <w:b/>
                <w:sz w:val="22"/>
                <w:szCs w:val="22"/>
              </w:rPr>
            </w:pPr>
            <w:r w:rsidRPr="00C4514D">
              <w:rPr>
                <w:rFonts w:ascii="Verdana" w:hAnsi="Verdana"/>
                <w:b/>
                <w:sz w:val="22"/>
                <w:szCs w:val="22"/>
              </w:rPr>
              <w:t>Code</w:t>
            </w:r>
          </w:p>
        </w:tc>
        <w:tc>
          <w:tcPr>
            <w:tcW w:w="3462" w:type="dxa"/>
          </w:tcPr>
          <w:p w:rsidR="00E21452" w:rsidRPr="00C4514D" w:rsidRDefault="00E21452" w:rsidP="00E21452">
            <w:pPr>
              <w:ind w:right="566"/>
              <w:jc w:val="both"/>
              <w:rPr>
                <w:rFonts w:ascii="Verdana" w:hAnsi="Verdana"/>
                <w:b/>
                <w:sz w:val="22"/>
                <w:szCs w:val="22"/>
              </w:rPr>
            </w:pPr>
            <w:r w:rsidRPr="00C4514D">
              <w:rPr>
                <w:rFonts w:ascii="Verdana" w:hAnsi="Verdana"/>
                <w:b/>
                <w:sz w:val="22"/>
                <w:szCs w:val="22"/>
              </w:rPr>
              <w:t>€ EU support</w:t>
            </w:r>
          </w:p>
        </w:tc>
      </w:tr>
      <w:tr w:rsidR="00E21452" w:rsidRPr="00C4514D" w:rsidTr="00DA4B46">
        <w:tc>
          <w:tcPr>
            <w:tcW w:w="3461" w:type="dxa"/>
          </w:tcPr>
          <w:p w:rsidR="00E21452" w:rsidRPr="00C4514D" w:rsidRDefault="00E21452" w:rsidP="00E21452">
            <w:pPr>
              <w:ind w:right="566"/>
              <w:jc w:val="both"/>
              <w:rPr>
                <w:rFonts w:ascii="Verdana" w:hAnsi="Verdana"/>
                <w:sz w:val="22"/>
                <w:szCs w:val="22"/>
              </w:rPr>
            </w:pPr>
            <w:r w:rsidRPr="00C4514D">
              <w:rPr>
                <w:rFonts w:ascii="Verdana" w:hAnsi="Verdana"/>
                <w:sz w:val="22"/>
                <w:szCs w:val="22"/>
              </w:rPr>
              <w:t>PA 2</w:t>
            </w:r>
          </w:p>
        </w:tc>
        <w:tc>
          <w:tcPr>
            <w:tcW w:w="3461" w:type="dxa"/>
          </w:tcPr>
          <w:p w:rsidR="00E21452" w:rsidRPr="00C4514D" w:rsidRDefault="00E21452" w:rsidP="00E21452">
            <w:pPr>
              <w:ind w:right="566"/>
              <w:jc w:val="both"/>
              <w:rPr>
                <w:rFonts w:ascii="Verdana" w:hAnsi="Verdana"/>
                <w:sz w:val="22"/>
                <w:szCs w:val="22"/>
              </w:rPr>
            </w:pPr>
            <w:r w:rsidRPr="00C4514D">
              <w:rPr>
                <w:rFonts w:ascii="Verdana" w:hAnsi="Verdana"/>
                <w:sz w:val="22"/>
                <w:szCs w:val="22"/>
              </w:rPr>
              <w:t>120</w:t>
            </w:r>
          </w:p>
        </w:tc>
        <w:tc>
          <w:tcPr>
            <w:tcW w:w="3462" w:type="dxa"/>
          </w:tcPr>
          <w:p w:rsidR="00E21452" w:rsidRPr="00C4514D" w:rsidRDefault="00E21452" w:rsidP="00E21452">
            <w:pPr>
              <w:ind w:right="566"/>
              <w:jc w:val="both"/>
              <w:rPr>
                <w:rFonts w:ascii="Verdana" w:hAnsi="Verdana"/>
                <w:sz w:val="22"/>
                <w:szCs w:val="22"/>
              </w:rPr>
            </w:pPr>
            <w:r w:rsidRPr="00C4514D">
              <w:rPr>
                <w:rFonts w:ascii="Verdana" w:hAnsi="Verdana"/>
                <w:sz w:val="22"/>
                <w:szCs w:val="22"/>
              </w:rPr>
              <w:t>3 958 120€</w:t>
            </w:r>
          </w:p>
        </w:tc>
      </w:tr>
      <w:tr w:rsidR="00E21452" w:rsidRPr="00C4514D" w:rsidTr="00DA4B46">
        <w:tc>
          <w:tcPr>
            <w:tcW w:w="3461" w:type="dxa"/>
          </w:tcPr>
          <w:p w:rsidR="00E21452" w:rsidRPr="00C4514D" w:rsidRDefault="00E21452" w:rsidP="00E21452">
            <w:pPr>
              <w:ind w:right="566"/>
              <w:jc w:val="both"/>
              <w:rPr>
                <w:rFonts w:ascii="Verdana" w:hAnsi="Verdana"/>
                <w:sz w:val="22"/>
                <w:szCs w:val="22"/>
              </w:rPr>
            </w:pPr>
            <w:r w:rsidRPr="00C4514D">
              <w:rPr>
                <w:rFonts w:ascii="Verdana" w:hAnsi="Verdana"/>
                <w:sz w:val="22"/>
                <w:szCs w:val="22"/>
              </w:rPr>
              <w:t>PA 2</w:t>
            </w:r>
          </w:p>
        </w:tc>
        <w:tc>
          <w:tcPr>
            <w:tcW w:w="3461" w:type="dxa"/>
          </w:tcPr>
          <w:p w:rsidR="00E21452" w:rsidRPr="00C4514D" w:rsidRDefault="00E21452" w:rsidP="00E21452">
            <w:pPr>
              <w:ind w:right="566"/>
              <w:jc w:val="both"/>
              <w:rPr>
                <w:rFonts w:ascii="Verdana" w:hAnsi="Verdana"/>
                <w:sz w:val="22"/>
                <w:szCs w:val="22"/>
              </w:rPr>
            </w:pPr>
            <w:r w:rsidRPr="00C4514D">
              <w:rPr>
                <w:rFonts w:ascii="Verdana" w:hAnsi="Verdana"/>
                <w:sz w:val="22"/>
                <w:szCs w:val="22"/>
              </w:rPr>
              <w:t>121</w:t>
            </w:r>
          </w:p>
        </w:tc>
        <w:tc>
          <w:tcPr>
            <w:tcW w:w="3462" w:type="dxa"/>
          </w:tcPr>
          <w:p w:rsidR="00E21452" w:rsidRPr="00C4514D" w:rsidRDefault="00E21452" w:rsidP="00E21452">
            <w:pPr>
              <w:ind w:right="566"/>
              <w:jc w:val="both"/>
              <w:rPr>
                <w:rFonts w:ascii="Verdana" w:hAnsi="Verdana"/>
                <w:sz w:val="22"/>
                <w:szCs w:val="22"/>
              </w:rPr>
            </w:pPr>
            <w:r w:rsidRPr="00C4514D">
              <w:rPr>
                <w:rFonts w:ascii="Verdana" w:hAnsi="Verdana"/>
                <w:sz w:val="22"/>
                <w:szCs w:val="22"/>
              </w:rPr>
              <w:t>500 000€</w:t>
            </w:r>
          </w:p>
        </w:tc>
      </w:tr>
    </w:tbl>
    <w:p w:rsidR="00E21452" w:rsidRPr="00C4514D" w:rsidRDefault="00E21452" w:rsidP="00E21452">
      <w:pPr>
        <w:ind w:right="566"/>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27"/>
        <w:gridCol w:w="3167"/>
      </w:tblGrid>
      <w:tr w:rsidR="00E21452" w:rsidRPr="00C4514D" w:rsidTr="00DA4B46">
        <w:tc>
          <w:tcPr>
            <w:tcW w:w="10384" w:type="dxa"/>
            <w:gridSpan w:val="3"/>
          </w:tcPr>
          <w:p w:rsidR="00E21452" w:rsidRPr="00C4514D" w:rsidRDefault="00364438" w:rsidP="00E21452">
            <w:pPr>
              <w:ind w:right="566"/>
              <w:jc w:val="both"/>
              <w:rPr>
                <w:rFonts w:ascii="Verdana" w:hAnsi="Verdana"/>
                <w:b/>
                <w:sz w:val="22"/>
                <w:szCs w:val="22"/>
              </w:rPr>
            </w:pPr>
            <w:r w:rsidRPr="00C4514D">
              <w:rPr>
                <w:rFonts w:ascii="Verdana" w:hAnsi="Verdana"/>
                <w:b/>
                <w:sz w:val="22"/>
                <w:szCs w:val="22"/>
              </w:rPr>
              <w:t>Table 13 Dimension 2 Form of Finance</w:t>
            </w:r>
          </w:p>
        </w:tc>
      </w:tr>
      <w:tr w:rsidR="00E21452" w:rsidRPr="00C4514D" w:rsidTr="00DA4B46">
        <w:tc>
          <w:tcPr>
            <w:tcW w:w="3461" w:type="dxa"/>
          </w:tcPr>
          <w:p w:rsidR="00E21452" w:rsidRPr="00C4514D" w:rsidRDefault="00E21452" w:rsidP="00E21452">
            <w:pPr>
              <w:ind w:right="566"/>
              <w:jc w:val="both"/>
              <w:rPr>
                <w:rFonts w:ascii="Verdana" w:hAnsi="Verdana"/>
                <w:b/>
                <w:sz w:val="22"/>
                <w:szCs w:val="22"/>
              </w:rPr>
            </w:pPr>
            <w:r w:rsidRPr="00C4514D">
              <w:rPr>
                <w:rFonts w:ascii="Verdana" w:hAnsi="Verdana"/>
                <w:b/>
                <w:sz w:val="22"/>
                <w:szCs w:val="22"/>
              </w:rPr>
              <w:t>Priority Axis</w:t>
            </w:r>
          </w:p>
        </w:tc>
        <w:tc>
          <w:tcPr>
            <w:tcW w:w="3461" w:type="dxa"/>
          </w:tcPr>
          <w:p w:rsidR="00E21452" w:rsidRPr="00C4514D" w:rsidRDefault="00E21452" w:rsidP="00E21452">
            <w:pPr>
              <w:ind w:right="566"/>
              <w:jc w:val="both"/>
              <w:rPr>
                <w:rFonts w:ascii="Verdana" w:hAnsi="Verdana"/>
                <w:b/>
                <w:sz w:val="22"/>
                <w:szCs w:val="22"/>
              </w:rPr>
            </w:pPr>
            <w:r w:rsidRPr="00C4514D">
              <w:rPr>
                <w:rFonts w:ascii="Verdana" w:hAnsi="Verdana"/>
                <w:b/>
                <w:sz w:val="22"/>
                <w:szCs w:val="22"/>
              </w:rPr>
              <w:t>Code</w:t>
            </w:r>
          </w:p>
        </w:tc>
        <w:tc>
          <w:tcPr>
            <w:tcW w:w="3462" w:type="dxa"/>
          </w:tcPr>
          <w:p w:rsidR="00E21452" w:rsidRPr="00C4514D" w:rsidRDefault="00E21452" w:rsidP="00E21452">
            <w:pPr>
              <w:ind w:right="566"/>
              <w:jc w:val="both"/>
              <w:rPr>
                <w:rFonts w:ascii="Verdana" w:hAnsi="Verdana"/>
                <w:b/>
                <w:sz w:val="22"/>
                <w:szCs w:val="22"/>
              </w:rPr>
            </w:pPr>
            <w:r w:rsidRPr="00C4514D">
              <w:rPr>
                <w:rFonts w:ascii="Verdana" w:hAnsi="Verdana"/>
                <w:b/>
                <w:sz w:val="22"/>
                <w:szCs w:val="22"/>
              </w:rPr>
              <w:t>€ EU support</w:t>
            </w:r>
          </w:p>
        </w:tc>
      </w:tr>
      <w:tr w:rsidR="00E21452" w:rsidRPr="00C4514D" w:rsidTr="00DA4B46">
        <w:tc>
          <w:tcPr>
            <w:tcW w:w="3461" w:type="dxa"/>
          </w:tcPr>
          <w:p w:rsidR="00E21452" w:rsidRPr="00C4514D" w:rsidRDefault="00E21452" w:rsidP="00E21452">
            <w:pPr>
              <w:ind w:right="566"/>
              <w:jc w:val="both"/>
              <w:rPr>
                <w:rFonts w:ascii="Verdana" w:hAnsi="Verdana"/>
                <w:sz w:val="22"/>
                <w:szCs w:val="22"/>
              </w:rPr>
            </w:pPr>
            <w:r w:rsidRPr="00C4514D">
              <w:rPr>
                <w:rFonts w:ascii="Verdana" w:hAnsi="Verdana"/>
                <w:sz w:val="22"/>
                <w:szCs w:val="22"/>
              </w:rPr>
              <w:t>PA 2</w:t>
            </w:r>
          </w:p>
        </w:tc>
        <w:tc>
          <w:tcPr>
            <w:tcW w:w="3461" w:type="dxa"/>
          </w:tcPr>
          <w:p w:rsidR="00E21452" w:rsidRPr="00C4514D" w:rsidRDefault="00E21452" w:rsidP="00E21452">
            <w:pPr>
              <w:ind w:right="566"/>
              <w:jc w:val="both"/>
              <w:rPr>
                <w:rFonts w:ascii="Verdana" w:hAnsi="Verdana"/>
                <w:sz w:val="22"/>
                <w:szCs w:val="22"/>
              </w:rPr>
            </w:pPr>
            <w:r w:rsidRPr="00C4514D">
              <w:rPr>
                <w:rFonts w:ascii="Verdana" w:hAnsi="Verdana"/>
                <w:sz w:val="22"/>
                <w:szCs w:val="22"/>
              </w:rPr>
              <w:t>01</w:t>
            </w:r>
          </w:p>
        </w:tc>
        <w:tc>
          <w:tcPr>
            <w:tcW w:w="3462" w:type="dxa"/>
          </w:tcPr>
          <w:p w:rsidR="00E21452" w:rsidRPr="00C4514D" w:rsidRDefault="00E21452" w:rsidP="00E21452">
            <w:pPr>
              <w:ind w:right="566"/>
              <w:jc w:val="both"/>
              <w:rPr>
                <w:rFonts w:ascii="Verdana" w:hAnsi="Verdana"/>
                <w:sz w:val="22"/>
                <w:szCs w:val="22"/>
              </w:rPr>
            </w:pPr>
            <w:r w:rsidRPr="00C4514D">
              <w:rPr>
                <w:rFonts w:ascii="Verdana" w:hAnsi="Verdana"/>
                <w:sz w:val="22"/>
                <w:szCs w:val="22"/>
              </w:rPr>
              <w:t>4 458 120€</w:t>
            </w:r>
          </w:p>
        </w:tc>
      </w:tr>
    </w:tbl>
    <w:p w:rsidR="00E21452" w:rsidRPr="00C4514D" w:rsidRDefault="00E21452" w:rsidP="00E21452">
      <w:pPr>
        <w:ind w:right="566"/>
        <w:jc w:val="both"/>
        <w:rPr>
          <w:rFonts w:ascii="Verdana" w:hAnsi="Verdana"/>
          <w:sz w:val="22"/>
          <w:szCs w:val="22"/>
        </w:rPr>
      </w:pPr>
    </w:p>
    <w:p w:rsidR="00E21452" w:rsidRPr="00C4514D" w:rsidRDefault="00E21452" w:rsidP="00E21452">
      <w:pPr>
        <w:ind w:right="566"/>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052"/>
        <w:gridCol w:w="3121"/>
      </w:tblGrid>
      <w:tr w:rsidR="00E21452" w:rsidRPr="00C4514D" w:rsidTr="00DA4B46">
        <w:tc>
          <w:tcPr>
            <w:tcW w:w="10384" w:type="dxa"/>
            <w:gridSpan w:val="3"/>
          </w:tcPr>
          <w:p w:rsidR="00E21452" w:rsidRPr="00C4514D" w:rsidRDefault="00E21452" w:rsidP="00E21452">
            <w:pPr>
              <w:ind w:right="566"/>
              <w:jc w:val="both"/>
              <w:rPr>
                <w:rFonts w:ascii="Verdana" w:hAnsi="Verdana"/>
                <w:b/>
                <w:sz w:val="22"/>
                <w:szCs w:val="22"/>
              </w:rPr>
            </w:pPr>
            <w:r w:rsidRPr="00C4514D">
              <w:rPr>
                <w:rFonts w:ascii="Verdana" w:hAnsi="Verdana"/>
                <w:b/>
                <w:sz w:val="22"/>
                <w:szCs w:val="22"/>
              </w:rPr>
              <w:t>Table 14 Dimension 3 Territory</w:t>
            </w:r>
          </w:p>
        </w:tc>
      </w:tr>
      <w:tr w:rsidR="00E21452" w:rsidRPr="00C4514D" w:rsidTr="00DA4B46">
        <w:tc>
          <w:tcPr>
            <w:tcW w:w="3461" w:type="dxa"/>
          </w:tcPr>
          <w:p w:rsidR="00E21452" w:rsidRPr="00C4514D" w:rsidRDefault="00E21452" w:rsidP="00E21452">
            <w:pPr>
              <w:ind w:right="566"/>
              <w:jc w:val="both"/>
              <w:rPr>
                <w:rFonts w:ascii="Verdana" w:hAnsi="Verdana"/>
                <w:b/>
                <w:sz w:val="22"/>
                <w:szCs w:val="22"/>
              </w:rPr>
            </w:pPr>
            <w:r w:rsidRPr="00C4514D">
              <w:rPr>
                <w:rFonts w:ascii="Verdana" w:hAnsi="Verdana"/>
                <w:b/>
                <w:sz w:val="22"/>
                <w:szCs w:val="22"/>
              </w:rPr>
              <w:t>Priority Axis</w:t>
            </w:r>
          </w:p>
        </w:tc>
        <w:tc>
          <w:tcPr>
            <w:tcW w:w="3461" w:type="dxa"/>
          </w:tcPr>
          <w:p w:rsidR="00E21452" w:rsidRPr="00C4514D" w:rsidRDefault="00E21452" w:rsidP="00E21452">
            <w:pPr>
              <w:ind w:right="566"/>
              <w:jc w:val="both"/>
              <w:rPr>
                <w:rFonts w:ascii="Verdana" w:hAnsi="Verdana"/>
                <w:b/>
                <w:sz w:val="22"/>
                <w:szCs w:val="22"/>
              </w:rPr>
            </w:pPr>
            <w:r w:rsidRPr="00C4514D">
              <w:rPr>
                <w:rFonts w:ascii="Verdana" w:hAnsi="Verdana"/>
                <w:b/>
                <w:sz w:val="22"/>
                <w:szCs w:val="22"/>
              </w:rPr>
              <w:t>Code</w:t>
            </w:r>
          </w:p>
        </w:tc>
        <w:tc>
          <w:tcPr>
            <w:tcW w:w="3462" w:type="dxa"/>
          </w:tcPr>
          <w:p w:rsidR="00E21452" w:rsidRPr="00C4514D" w:rsidRDefault="00E21452" w:rsidP="00E21452">
            <w:pPr>
              <w:ind w:right="566"/>
              <w:jc w:val="both"/>
              <w:rPr>
                <w:rFonts w:ascii="Verdana" w:hAnsi="Verdana"/>
                <w:b/>
                <w:sz w:val="22"/>
                <w:szCs w:val="22"/>
              </w:rPr>
            </w:pPr>
            <w:r w:rsidRPr="00C4514D">
              <w:rPr>
                <w:rFonts w:ascii="Verdana" w:hAnsi="Verdana"/>
                <w:b/>
                <w:sz w:val="22"/>
                <w:szCs w:val="22"/>
              </w:rPr>
              <w:t>€ EU support</w:t>
            </w:r>
          </w:p>
        </w:tc>
      </w:tr>
      <w:tr w:rsidR="00E21452" w:rsidRPr="00C4514D" w:rsidTr="00DA4B46">
        <w:tc>
          <w:tcPr>
            <w:tcW w:w="3461" w:type="dxa"/>
          </w:tcPr>
          <w:p w:rsidR="00E21452" w:rsidRPr="00C4514D" w:rsidRDefault="00E21452" w:rsidP="00E21452">
            <w:pPr>
              <w:ind w:right="566"/>
              <w:jc w:val="both"/>
              <w:rPr>
                <w:rFonts w:ascii="Verdana" w:hAnsi="Verdana"/>
                <w:sz w:val="22"/>
                <w:szCs w:val="22"/>
              </w:rPr>
            </w:pPr>
            <w:r w:rsidRPr="00C4514D">
              <w:rPr>
                <w:rFonts w:ascii="Verdana" w:hAnsi="Verdana"/>
                <w:sz w:val="22"/>
                <w:szCs w:val="22"/>
              </w:rPr>
              <w:t>PA 2</w:t>
            </w:r>
          </w:p>
        </w:tc>
        <w:tc>
          <w:tcPr>
            <w:tcW w:w="3461" w:type="dxa"/>
          </w:tcPr>
          <w:p w:rsidR="00E21452" w:rsidRPr="00C4514D" w:rsidRDefault="00E21452" w:rsidP="00E21452">
            <w:pPr>
              <w:ind w:right="566"/>
              <w:jc w:val="both"/>
              <w:rPr>
                <w:rFonts w:ascii="Verdana" w:hAnsi="Verdana"/>
                <w:sz w:val="22"/>
                <w:szCs w:val="22"/>
              </w:rPr>
            </w:pPr>
            <w:r w:rsidRPr="00C4514D">
              <w:rPr>
                <w:rFonts w:ascii="Verdana" w:hAnsi="Verdana"/>
                <w:sz w:val="22"/>
                <w:szCs w:val="22"/>
              </w:rPr>
              <w:t>00</w:t>
            </w:r>
          </w:p>
        </w:tc>
        <w:tc>
          <w:tcPr>
            <w:tcW w:w="3462" w:type="dxa"/>
          </w:tcPr>
          <w:p w:rsidR="00E21452" w:rsidRPr="00C4514D" w:rsidRDefault="00E21452" w:rsidP="00E21452">
            <w:pPr>
              <w:ind w:right="566"/>
              <w:jc w:val="both"/>
              <w:rPr>
                <w:rFonts w:ascii="Verdana" w:hAnsi="Verdana"/>
                <w:sz w:val="22"/>
                <w:szCs w:val="22"/>
              </w:rPr>
            </w:pPr>
            <w:r w:rsidRPr="00C4514D">
              <w:rPr>
                <w:rFonts w:ascii="Verdana" w:hAnsi="Verdana"/>
                <w:sz w:val="22"/>
                <w:szCs w:val="22"/>
              </w:rPr>
              <w:t>4 458 120€</w:t>
            </w:r>
          </w:p>
        </w:tc>
      </w:tr>
    </w:tbl>
    <w:p w:rsidR="00E21452" w:rsidRPr="00C4514D" w:rsidRDefault="00E21452" w:rsidP="00E21452">
      <w:pPr>
        <w:ind w:right="566"/>
        <w:jc w:val="both"/>
        <w:rPr>
          <w:rFonts w:ascii="Verdana" w:hAnsi="Verdana"/>
          <w:sz w:val="22"/>
          <w:szCs w:val="22"/>
        </w:rPr>
      </w:pPr>
    </w:p>
    <w:p w:rsidR="009400AD" w:rsidRPr="00C4514D" w:rsidRDefault="009400AD" w:rsidP="00592786">
      <w:pPr>
        <w:ind w:firstLine="708"/>
        <w:rPr>
          <w:rFonts w:ascii="Verdana" w:hAnsi="Verdana"/>
          <w:sz w:val="22"/>
          <w:szCs w:val="22"/>
        </w:rPr>
      </w:pPr>
    </w:p>
    <w:p w:rsidR="00DA4B46" w:rsidRPr="00C4514D" w:rsidRDefault="00DA4B46" w:rsidP="00592786">
      <w:pPr>
        <w:ind w:firstLine="708"/>
        <w:rPr>
          <w:rFonts w:ascii="Verdana" w:hAnsi="Verdana"/>
          <w:sz w:val="22"/>
          <w:szCs w:val="22"/>
        </w:rPr>
      </w:pPr>
    </w:p>
    <w:p w:rsidR="00DA4B46" w:rsidRPr="00C4514D" w:rsidRDefault="00DA4B46">
      <w:pPr>
        <w:spacing w:after="200" w:line="276" w:lineRule="auto"/>
        <w:rPr>
          <w:rFonts w:ascii="Verdana" w:hAnsi="Verdana"/>
          <w:sz w:val="22"/>
          <w:szCs w:val="22"/>
        </w:rPr>
      </w:pPr>
      <w:r w:rsidRPr="00C4514D">
        <w:rPr>
          <w:rFonts w:ascii="Verdana" w:hAnsi="Verdana"/>
          <w:sz w:val="22"/>
          <w:szCs w:val="22"/>
        </w:rPr>
        <w:br w:type="page"/>
      </w:r>
    </w:p>
    <w:p w:rsidR="00DA4B46" w:rsidRPr="004F5F2B" w:rsidRDefault="00DA4B46" w:rsidP="00592786">
      <w:pPr>
        <w:ind w:firstLine="708"/>
        <w:rPr>
          <w:rFonts w:ascii="Verdana" w:hAnsi="Verdana"/>
        </w:rPr>
      </w:pPr>
    </w:p>
    <w:p w:rsidR="00DA4B46" w:rsidRPr="004F5F2B" w:rsidRDefault="00DA4B46" w:rsidP="00592786">
      <w:pPr>
        <w:ind w:firstLine="708"/>
        <w:rPr>
          <w:rFonts w:ascii="Verdana" w:hAnsi="Verdana"/>
        </w:rPr>
      </w:pPr>
    </w:p>
    <w:p w:rsidR="00DA4B46" w:rsidRPr="004F5F2B" w:rsidRDefault="00DA4B46" w:rsidP="00592786">
      <w:pPr>
        <w:ind w:firstLine="708"/>
        <w:rPr>
          <w:rFonts w:ascii="Verdana" w:hAnsi="Verdana"/>
        </w:rPr>
      </w:pPr>
    </w:p>
    <w:p w:rsidR="00DA4B46" w:rsidRPr="004F5F2B" w:rsidRDefault="00DA4B46" w:rsidP="00592786">
      <w:pPr>
        <w:ind w:firstLine="708"/>
        <w:rPr>
          <w:rFonts w:ascii="Verdana" w:hAnsi="Verdana"/>
        </w:rPr>
      </w:pPr>
    </w:p>
    <w:p w:rsidR="00AC759C" w:rsidRPr="004F5F2B" w:rsidRDefault="00AC759C" w:rsidP="00DA4B46">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r w:rsidRPr="004F5F2B">
        <w:rPr>
          <w:rFonts w:ascii="Verdana" w:hAnsi="Verdana"/>
          <w:b/>
          <w:bCs/>
        </w:rPr>
        <w:t>SECTION THREE</w:t>
      </w: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sz w:val="36"/>
          <w:szCs w:val="36"/>
        </w:rPr>
      </w:pPr>
      <w:r w:rsidRPr="004F5F2B">
        <w:rPr>
          <w:rFonts w:ascii="Verdana" w:hAnsi="Verdana"/>
          <w:b/>
          <w:sz w:val="36"/>
          <w:szCs w:val="36"/>
        </w:rPr>
        <w:t>The Financing Plan</w:t>
      </w: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sz w:val="36"/>
          <w:szCs w:val="36"/>
        </w:rPr>
      </w:pPr>
      <w:r w:rsidRPr="004F5F2B">
        <w:rPr>
          <w:rFonts w:ascii="Verdana" w:hAnsi="Verdana"/>
          <w:b/>
          <w:sz w:val="36"/>
          <w:szCs w:val="36"/>
        </w:rPr>
        <w:t>for the Cooperation Programme</w:t>
      </w: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sz w:val="32"/>
          <w:szCs w:val="32"/>
        </w:rPr>
      </w:pP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DA4B46" w:rsidRPr="004F5F2B" w:rsidRDefault="00DA4B46" w:rsidP="00592786">
      <w:pPr>
        <w:ind w:firstLine="708"/>
        <w:rPr>
          <w:rFonts w:ascii="Verdana" w:hAnsi="Verdana"/>
        </w:rPr>
      </w:pPr>
    </w:p>
    <w:p w:rsidR="00DA4B46" w:rsidRPr="004F5F2B" w:rsidRDefault="00DA4B46" w:rsidP="00592786">
      <w:pPr>
        <w:ind w:firstLine="708"/>
        <w:rPr>
          <w:rFonts w:ascii="Verdana" w:hAnsi="Verdana"/>
        </w:rPr>
      </w:pPr>
    </w:p>
    <w:p w:rsidR="00DA4B46" w:rsidRPr="004F5F2B" w:rsidRDefault="00DA4B46" w:rsidP="00592786">
      <w:pPr>
        <w:ind w:firstLine="708"/>
        <w:rPr>
          <w:rFonts w:ascii="Verdana" w:hAnsi="Verdana"/>
        </w:rPr>
      </w:pPr>
    </w:p>
    <w:p w:rsidR="00DA4B46" w:rsidRPr="004F5F2B" w:rsidRDefault="00DA4B46" w:rsidP="00592786">
      <w:pPr>
        <w:ind w:firstLine="708"/>
        <w:rPr>
          <w:rFonts w:ascii="Verdana" w:hAnsi="Verdana"/>
        </w:rPr>
      </w:pPr>
    </w:p>
    <w:p w:rsidR="00DA4B46" w:rsidRPr="004F5F2B" w:rsidRDefault="00DA4B46" w:rsidP="00592786">
      <w:pPr>
        <w:ind w:firstLine="708"/>
        <w:rPr>
          <w:rFonts w:ascii="Verdana" w:hAnsi="Verdana"/>
        </w:rPr>
      </w:pPr>
    </w:p>
    <w:p w:rsidR="00DA4B46" w:rsidRPr="004F5F2B" w:rsidRDefault="00DA4B46" w:rsidP="00592786">
      <w:pPr>
        <w:ind w:firstLine="708"/>
        <w:rPr>
          <w:rFonts w:ascii="Verdana" w:hAnsi="Verdana"/>
        </w:rPr>
      </w:pPr>
    </w:p>
    <w:p w:rsidR="00DA4B46" w:rsidRPr="004F5F2B" w:rsidRDefault="00DA4B46" w:rsidP="00592786">
      <w:pPr>
        <w:ind w:firstLine="708"/>
        <w:rPr>
          <w:rFonts w:ascii="Verdana" w:hAnsi="Verdana"/>
        </w:rPr>
      </w:pPr>
    </w:p>
    <w:p w:rsidR="00DA4B46" w:rsidRPr="004F5F2B" w:rsidRDefault="00DA4B46" w:rsidP="00592786">
      <w:pPr>
        <w:ind w:firstLine="708"/>
        <w:rPr>
          <w:rFonts w:ascii="Verdana" w:hAnsi="Verdana"/>
        </w:rPr>
      </w:pPr>
    </w:p>
    <w:p w:rsidR="00DA4B46" w:rsidRPr="004F5F2B" w:rsidRDefault="00DA4B46" w:rsidP="00592786">
      <w:pPr>
        <w:ind w:firstLine="708"/>
        <w:rPr>
          <w:rFonts w:ascii="Verdana" w:hAnsi="Verdana"/>
        </w:rPr>
      </w:pPr>
    </w:p>
    <w:p w:rsidR="00DA4B46" w:rsidRPr="004F5F2B" w:rsidRDefault="00DA4B46" w:rsidP="00592786">
      <w:pPr>
        <w:ind w:firstLine="708"/>
        <w:rPr>
          <w:rFonts w:ascii="Verdana" w:hAnsi="Verdana"/>
        </w:rPr>
      </w:pPr>
    </w:p>
    <w:p w:rsidR="009400AD" w:rsidRPr="004F5F2B" w:rsidRDefault="009400AD" w:rsidP="00592786">
      <w:pPr>
        <w:ind w:firstLine="708"/>
        <w:rPr>
          <w:rFonts w:ascii="Verdana" w:hAnsi="Verdana"/>
        </w:rPr>
      </w:pPr>
    </w:p>
    <w:p w:rsidR="008F49F8" w:rsidRPr="004F5F2B" w:rsidRDefault="008F49F8">
      <w:pPr>
        <w:spacing w:after="200" w:line="276" w:lineRule="auto"/>
        <w:rPr>
          <w:rFonts w:ascii="Verdana" w:hAnsi="Verdana"/>
        </w:rPr>
        <w:sectPr w:rsidR="008F49F8" w:rsidRPr="004F5F2B" w:rsidSect="009400AD">
          <w:pgSz w:w="11906" w:h="16838"/>
          <w:pgMar w:top="1417" w:right="1417" w:bottom="1417" w:left="1417" w:header="708" w:footer="708" w:gutter="0"/>
          <w:cols w:space="708"/>
          <w:docGrid w:linePitch="360"/>
        </w:sectPr>
      </w:pPr>
    </w:p>
    <w:p w:rsidR="008F49F8" w:rsidRPr="004F5F2B" w:rsidRDefault="008F49F8">
      <w:pPr>
        <w:spacing w:after="200" w:line="276" w:lineRule="auto"/>
        <w:rPr>
          <w:rFonts w:ascii="Verdana" w:hAnsi="Verdana"/>
        </w:rPr>
      </w:pPr>
    </w:p>
    <w:p w:rsidR="008F49F8" w:rsidRPr="004F5F2B" w:rsidRDefault="008F49F8" w:rsidP="00592786">
      <w:pPr>
        <w:ind w:firstLine="708"/>
        <w:rPr>
          <w:rFonts w:ascii="Verdana" w:hAnsi="Verdana"/>
        </w:rPr>
      </w:pPr>
    </w:p>
    <w:p w:rsidR="00A40420" w:rsidRDefault="00FF01A8" w:rsidP="00A40420">
      <w:pPr>
        <w:pStyle w:val="StyleHeading1Hanging085cm"/>
      </w:pPr>
      <w:bookmarkStart w:id="26" w:name="_Toc384648449"/>
      <w:r w:rsidRPr="007B5752">
        <w:t>S</w:t>
      </w:r>
      <w:r w:rsidR="00A40420">
        <w:t>ection</w:t>
      </w:r>
      <w:r w:rsidRPr="007B5752">
        <w:t xml:space="preserve"> 3 </w:t>
      </w:r>
      <w:r w:rsidRPr="004F5F2B">
        <w:t xml:space="preserve">The Financing Plan for the Cooperation Programme </w:t>
      </w:r>
    </w:p>
    <w:p w:rsidR="00FF01A8" w:rsidRPr="00A40420" w:rsidRDefault="00FF01A8" w:rsidP="00A40420">
      <w:pPr>
        <w:rPr>
          <w:rFonts w:ascii="Arial" w:hAnsi="Arial" w:cs="Arial"/>
          <w:sz w:val="28"/>
          <w:szCs w:val="28"/>
        </w:rPr>
      </w:pPr>
      <w:r w:rsidRPr="00A40420">
        <w:rPr>
          <w:rFonts w:ascii="Arial" w:hAnsi="Arial" w:cs="Arial"/>
          <w:sz w:val="28"/>
          <w:szCs w:val="28"/>
        </w:rPr>
        <w:t>(Article 7 (2) (d) ETC regulation</w:t>
      </w:r>
      <w:bookmarkEnd w:id="26"/>
    </w:p>
    <w:p w:rsidR="00FF01A8" w:rsidRDefault="00FF01A8" w:rsidP="00FF01A8">
      <w:pPr>
        <w:rPr>
          <w:rFonts w:ascii="Verdana" w:hAnsi="Verdana"/>
          <w:b/>
        </w:rPr>
      </w:pPr>
    </w:p>
    <w:p w:rsidR="00A40420" w:rsidRPr="004F5F2B" w:rsidRDefault="00A40420" w:rsidP="00FF01A8">
      <w:pPr>
        <w:rPr>
          <w:rFonts w:ascii="Verdana" w:hAnsi="Verdana"/>
          <w:b/>
        </w:rPr>
      </w:pPr>
    </w:p>
    <w:p w:rsidR="00FF01A8" w:rsidRPr="001B277B" w:rsidRDefault="00383400" w:rsidP="001B277B">
      <w:pPr>
        <w:pStyle w:val="2"/>
        <w:rPr>
          <w:sz w:val="22"/>
          <w:szCs w:val="22"/>
        </w:rPr>
      </w:pPr>
      <w:bookmarkStart w:id="27" w:name="_Toc384648450"/>
      <w:r w:rsidRPr="001B277B">
        <w:rPr>
          <w:bCs w:val="0"/>
          <w:sz w:val="22"/>
          <w:szCs w:val="22"/>
        </w:rPr>
        <w:t>3.1.</w:t>
      </w:r>
      <w:r w:rsidRPr="001B277B">
        <w:rPr>
          <w:bCs w:val="0"/>
          <w:sz w:val="22"/>
          <w:szCs w:val="22"/>
        </w:rPr>
        <w:tab/>
      </w:r>
      <w:r w:rsidR="00FF01A8" w:rsidRPr="001B277B">
        <w:rPr>
          <w:bCs w:val="0"/>
          <w:sz w:val="22"/>
          <w:szCs w:val="22"/>
        </w:rPr>
        <w:t>A table specifying for each year</w:t>
      </w:r>
      <w:bookmarkEnd w:id="27"/>
      <w:r w:rsidR="00FF01A8" w:rsidRPr="001B277B">
        <w:rPr>
          <w:sz w:val="22"/>
          <w:szCs w:val="22"/>
        </w:rPr>
        <w:t>, in accordance with Article 53,110 and 111 of the CPR, the amount of the total financial appropriation envisaged for the support from the ERDF</w:t>
      </w:r>
    </w:p>
    <w:tbl>
      <w:tblPr>
        <w:tblW w:w="0" w:type="auto"/>
        <w:tblInd w:w="55" w:type="dxa"/>
        <w:tblCellMar>
          <w:left w:w="70" w:type="dxa"/>
          <w:right w:w="70" w:type="dxa"/>
        </w:tblCellMar>
        <w:tblLook w:val="04A0" w:firstRow="1" w:lastRow="0" w:firstColumn="1" w:lastColumn="0" w:noHBand="0" w:noVBand="1"/>
      </w:tblPr>
      <w:tblGrid>
        <w:gridCol w:w="2439"/>
        <w:gridCol w:w="1369"/>
        <w:gridCol w:w="1369"/>
        <w:gridCol w:w="1369"/>
        <w:gridCol w:w="1496"/>
        <w:gridCol w:w="1496"/>
        <w:gridCol w:w="1496"/>
        <w:gridCol w:w="1496"/>
        <w:gridCol w:w="1496"/>
      </w:tblGrid>
      <w:tr w:rsidR="00FF01A8" w:rsidRPr="00C4514D" w:rsidTr="00FF01A8">
        <w:trPr>
          <w:trHeight w:val="300"/>
        </w:trPr>
        <w:tc>
          <w:tcPr>
            <w:tcW w:w="0" w:type="auto"/>
            <w:gridSpan w:val="3"/>
            <w:tcBorders>
              <w:top w:val="nil"/>
              <w:left w:val="nil"/>
              <w:bottom w:val="nil"/>
              <w:right w:val="nil"/>
            </w:tcBorders>
            <w:shd w:val="clear" w:color="auto" w:fill="auto"/>
            <w:noWrap/>
            <w:vAlign w:val="bottom"/>
          </w:tcPr>
          <w:p w:rsidR="00C4514D" w:rsidRPr="00C4514D" w:rsidRDefault="00C4514D" w:rsidP="00FF01A8">
            <w:pPr>
              <w:rPr>
                <w:rFonts w:ascii="Verdana" w:hAnsi="Verdana"/>
                <w:b/>
                <w:bCs/>
                <w:color w:val="000000"/>
                <w:sz w:val="22"/>
                <w:szCs w:val="22"/>
              </w:rPr>
            </w:pPr>
          </w:p>
          <w:p w:rsidR="00FF01A8" w:rsidRPr="00C4514D" w:rsidRDefault="00FF01A8" w:rsidP="00FF01A8">
            <w:pPr>
              <w:rPr>
                <w:rFonts w:ascii="Verdana" w:hAnsi="Verdana"/>
                <w:b/>
                <w:bCs/>
                <w:color w:val="000000"/>
                <w:sz w:val="22"/>
                <w:szCs w:val="22"/>
              </w:rPr>
            </w:pPr>
            <w:r w:rsidRPr="00C4514D">
              <w:rPr>
                <w:rFonts w:ascii="Verdana" w:hAnsi="Verdana"/>
                <w:b/>
                <w:bCs/>
                <w:color w:val="000000"/>
                <w:sz w:val="22"/>
                <w:szCs w:val="22"/>
              </w:rPr>
              <w:t xml:space="preserve">Table 15 </w:t>
            </w: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r>
      <w:tr w:rsidR="00FF01A8" w:rsidRPr="00C4514D" w:rsidTr="00FF01A8">
        <w:trPr>
          <w:trHeight w:val="300"/>
        </w:trPr>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r>
      <w:tr w:rsidR="00FF01A8" w:rsidRPr="00C4514D" w:rsidTr="00FF01A8">
        <w:trPr>
          <w:trHeight w:val="300"/>
        </w:trPr>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r>
      <w:tr w:rsidR="00FF01A8" w:rsidRPr="004F5F2B" w:rsidTr="00FF01A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F01A8" w:rsidRPr="004F5F2B" w:rsidRDefault="00FF01A8" w:rsidP="00FF01A8">
            <w:pPr>
              <w:jc w:val="center"/>
              <w:rPr>
                <w:rFonts w:ascii="Verdana" w:hAnsi="Verdana"/>
                <w:b/>
                <w:bCs/>
                <w:color w:val="000000"/>
                <w:sz w:val="20"/>
                <w:szCs w:val="20"/>
              </w:rPr>
            </w:pPr>
            <w:r w:rsidRPr="004F5F2B">
              <w:rPr>
                <w:rFonts w:ascii="Verdana" w:hAnsi="Verdana"/>
                <w:b/>
                <w:bCs/>
                <w:color w:val="000000"/>
                <w:sz w:val="20"/>
                <w:szCs w:val="20"/>
              </w:rPr>
              <w:t xml:space="preserve">Fund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F01A8" w:rsidRPr="004F5F2B" w:rsidRDefault="00FF01A8" w:rsidP="00FF01A8">
            <w:pPr>
              <w:jc w:val="center"/>
              <w:rPr>
                <w:rFonts w:ascii="Verdana" w:hAnsi="Verdana"/>
                <w:b/>
                <w:bCs/>
                <w:color w:val="000000"/>
                <w:sz w:val="20"/>
                <w:szCs w:val="20"/>
              </w:rPr>
            </w:pPr>
            <w:r w:rsidRPr="004F5F2B">
              <w:rPr>
                <w:rFonts w:ascii="Verdana" w:hAnsi="Verdana"/>
                <w:b/>
                <w:bCs/>
                <w:color w:val="000000"/>
                <w:sz w:val="20"/>
                <w:szCs w:val="20"/>
              </w:rPr>
              <w:t>2014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F01A8" w:rsidRPr="004F5F2B" w:rsidRDefault="00FF01A8" w:rsidP="00FF01A8">
            <w:pPr>
              <w:jc w:val="center"/>
              <w:rPr>
                <w:rFonts w:ascii="Verdana" w:hAnsi="Verdana"/>
                <w:b/>
                <w:bCs/>
                <w:color w:val="000000"/>
                <w:sz w:val="20"/>
                <w:szCs w:val="20"/>
              </w:rPr>
            </w:pPr>
            <w:r w:rsidRPr="004F5F2B">
              <w:rPr>
                <w:rFonts w:ascii="Verdana" w:hAnsi="Verdana"/>
                <w:b/>
                <w:bCs/>
                <w:color w:val="000000"/>
                <w:sz w:val="20"/>
                <w:szCs w:val="20"/>
              </w:rPr>
              <w:t>2015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F01A8" w:rsidRPr="004F5F2B" w:rsidRDefault="00FF01A8" w:rsidP="00FF01A8">
            <w:pPr>
              <w:jc w:val="center"/>
              <w:rPr>
                <w:rFonts w:ascii="Verdana" w:hAnsi="Verdana"/>
                <w:b/>
                <w:bCs/>
                <w:color w:val="000000"/>
                <w:sz w:val="20"/>
                <w:szCs w:val="20"/>
              </w:rPr>
            </w:pPr>
            <w:r w:rsidRPr="004F5F2B">
              <w:rPr>
                <w:rFonts w:ascii="Verdana" w:hAnsi="Verdana"/>
                <w:b/>
                <w:bCs/>
                <w:color w:val="000000"/>
                <w:sz w:val="20"/>
                <w:szCs w:val="20"/>
              </w:rPr>
              <w:t>2016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F01A8" w:rsidRPr="004F5F2B" w:rsidRDefault="00FF01A8" w:rsidP="00FF01A8">
            <w:pPr>
              <w:jc w:val="center"/>
              <w:rPr>
                <w:rFonts w:ascii="Verdana" w:hAnsi="Verdana"/>
                <w:b/>
                <w:bCs/>
                <w:color w:val="000000"/>
                <w:sz w:val="20"/>
                <w:szCs w:val="20"/>
              </w:rPr>
            </w:pPr>
            <w:r w:rsidRPr="004F5F2B">
              <w:rPr>
                <w:rFonts w:ascii="Verdana" w:hAnsi="Verdana"/>
                <w:b/>
                <w:bCs/>
                <w:color w:val="000000"/>
                <w:sz w:val="20"/>
                <w:szCs w:val="20"/>
              </w:rPr>
              <w:t>2017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F01A8" w:rsidRPr="004F5F2B" w:rsidRDefault="00FF01A8" w:rsidP="00FF01A8">
            <w:pPr>
              <w:jc w:val="center"/>
              <w:rPr>
                <w:rFonts w:ascii="Verdana" w:hAnsi="Verdana"/>
                <w:b/>
                <w:bCs/>
                <w:color w:val="000000"/>
                <w:sz w:val="20"/>
                <w:szCs w:val="20"/>
              </w:rPr>
            </w:pPr>
            <w:r w:rsidRPr="004F5F2B">
              <w:rPr>
                <w:rFonts w:ascii="Verdana" w:hAnsi="Verdana"/>
                <w:b/>
                <w:bCs/>
                <w:color w:val="000000"/>
                <w:sz w:val="20"/>
                <w:szCs w:val="20"/>
              </w:rPr>
              <w:t>2018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F01A8" w:rsidRPr="004F5F2B" w:rsidRDefault="00FF01A8" w:rsidP="00FF01A8">
            <w:pPr>
              <w:jc w:val="center"/>
              <w:rPr>
                <w:rFonts w:ascii="Verdana" w:hAnsi="Verdana"/>
                <w:b/>
                <w:bCs/>
                <w:color w:val="000000"/>
                <w:sz w:val="20"/>
                <w:szCs w:val="20"/>
              </w:rPr>
            </w:pPr>
            <w:r w:rsidRPr="004F5F2B">
              <w:rPr>
                <w:rFonts w:ascii="Verdana" w:hAnsi="Verdana"/>
                <w:b/>
                <w:bCs/>
                <w:color w:val="000000"/>
                <w:sz w:val="20"/>
                <w:szCs w:val="20"/>
              </w:rPr>
              <w:t>2019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F01A8" w:rsidRPr="004F5F2B" w:rsidRDefault="00FF01A8" w:rsidP="00FF01A8">
            <w:pPr>
              <w:jc w:val="center"/>
              <w:rPr>
                <w:rFonts w:ascii="Verdana" w:hAnsi="Verdana"/>
                <w:b/>
                <w:bCs/>
                <w:color w:val="000000"/>
                <w:sz w:val="20"/>
                <w:szCs w:val="20"/>
              </w:rPr>
            </w:pPr>
            <w:r w:rsidRPr="004F5F2B">
              <w:rPr>
                <w:rFonts w:ascii="Verdana" w:hAnsi="Verdana"/>
                <w:b/>
                <w:bCs/>
                <w:color w:val="000000"/>
                <w:sz w:val="20"/>
                <w:szCs w:val="20"/>
              </w:rPr>
              <w:t>2020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F01A8" w:rsidRPr="004F5F2B" w:rsidRDefault="00FF01A8" w:rsidP="00FF01A8">
            <w:pPr>
              <w:jc w:val="center"/>
              <w:rPr>
                <w:rFonts w:ascii="Verdana" w:hAnsi="Verdana"/>
                <w:b/>
                <w:bCs/>
                <w:color w:val="000000"/>
                <w:sz w:val="20"/>
                <w:szCs w:val="20"/>
              </w:rPr>
            </w:pPr>
            <w:r w:rsidRPr="004F5F2B">
              <w:rPr>
                <w:rFonts w:ascii="Verdana" w:hAnsi="Verdana"/>
                <w:b/>
                <w:bCs/>
                <w:color w:val="000000"/>
                <w:sz w:val="20"/>
                <w:szCs w:val="20"/>
              </w:rPr>
              <w:t>TOTAL</w:t>
            </w:r>
          </w:p>
        </w:tc>
      </w:tr>
      <w:tr w:rsidR="00FF01A8" w:rsidRPr="004F5F2B" w:rsidTr="003B7BFA">
        <w:trPr>
          <w:trHeight w:val="575"/>
        </w:trPr>
        <w:tc>
          <w:tcPr>
            <w:tcW w:w="0" w:type="auto"/>
            <w:tcBorders>
              <w:top w:val="nil"/>
              <w:left w:val="single" w:sz="4" w:space="0" w:color="auto"/>
              <w:bottom w:val="single" w:sz="4" w:space="0" w:color="auto"/>
              <w:right w:val="single" w:sz="4" w:space="0" w:color="auto"/>
            </w:tcBorders>
            <w:shd w:val="clear" w:color="auto" w:fill="auto"/>
            <w:noWrap/>
            <w:vAlign w:val="bottom"/>
          </w:tcPr>
          <w:p w:rsidR="00FF01A8" w:rsidRPr="004F5F2B" w:rsidRDefault="00FF01A8" w:rsidP="003B7BFA">
            <w:pPr>
              <w:spacing w:after="240"/>
              <w:jc w:val="center"/>
              <w:rPr>
                <w:rFonts w:ascii="Verdana" w:hAnsi="Verdana"/>
                <w:color w:val="000000"/>
                <w:sz w:val="20"/>
                <w:szCs w:val="20"/>
              </w:rPr>
            </w:pPr>
            <w:r w:rsidRPr="004F5F2B">
              <w:rPr>
                <w:rFonts w:ascii="Verdana" w:hAnsi="Verdana"/>
                <w:color w:val="000000"/>
                <w:sz w:val="20"/>
                <w:szCs w:val="20"/>
              </w:rPr>
              <w:t>ERDF</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3B7BFA">
            <w:pPr>
              <w:spacing w:after="240"/>
              <w:jc w:val="center"/>
              <w:rPr>
                <w:rFonts w:ascii="Verdana" w:hAnsi="Verdana"/>
                <w:color w:val="000000"/>
                <w:sz w:val="20"/>
                <w:szCs w:val="20"/>
              </w:rPr>
            </w:pPr>
            <w:r w:rsidRPr="004F5F2B">
              <w:rPr>
                <w:rFonts w:ascii="Verdana" w:hAnsi="Verdana"/>
                <w:color w:val="000000"/>
                <w:sz w:val="20"/>
                <w:szCs w:val="20"/>
              </w:rPr>
              <w:t>3 685 000 €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3B7BFA">
            <w:pPr>
              <w:spacing w:after="240"/>
              <w:jc w:val="center"/>
              <w:rPr>
                <w:rFonts w:ascii="Verdana" w:hAnsi="Verdana"/>
                <w:color w:val="000000"/>
                <w:sz w:val="20"/>
                <w:szCs w:val="20"/>
              </w:rPr>
            </w:pPr>
            <w:r w:rsidRPr="004F5F2B">
              <w:rPr>
                <w:rFonts w:ascii="Verdana" w:hAnsi="Verdana"/>
                <w:color w:val="000000"/>
                <w:sz w:val="20"/>
                <w:szCs w:val="20"/>
              </w:rPr>
              <w:t>5 381 000 €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3B7BFA">
            <w:pPr>
              <w:spacing w:after="240"/>
              <w:jc w:val="center"/>
              <w:rPr>
                <w:rFonts w:ascii="Verdana" w:hAnsi="Verdana"/>
                <w:color w:val="000000"/>
                <w:sz w:val="20"/>
                <w:szCs w:val="20"/>
              </w:rPr>
            </w:pPr>
            <w:r w:rsidRPr="004F5F2B">
              <w:rPr>
                <w:rFonts w:ascii="Verdana" w:hAnsi="Verdana"/>
                <w:color w:val="000000"/>
                <w:sz w:val="20"/>
                <w:szCs w:val="20"/>
              </w:rPr>
              <w:t>7 685 000 €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3B7BFA">
            <w:pPr>
              <w:spacing w:after="240"/>
              <w:jc w:val="center"/>
              <w:rPr>
                <w:rFonts w:ascii="Verdana" w:hAnsi="Verdana"/>
                <w:color w:val="000000"/>
                <w:sz w:val="20"/>
                <w:szCs w:val="20"/>
              </w:rPr>
            </w:pPr>
            <w:r w:rsidRPr="004F5F2B">
              <w:rPr>
                <w:rFonts w:ascii="Verdana" w:hAnsi="Verdana"/>
                <w:color w:val="000000"/>
                <w:sz w:val="20"/>
                <w:szCs w:val="20"/>
              </w:rPr>
              <w:t>13 963 000 €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3B7BFA">
            <w:pPr>
              <w:spacing w:after="240"/>
              <w:jc w:val="center"/>
              <w:rPr>
                <w:rFonts w:ascii="Verdana" w:hAnsi="Verdana"/>
                <w:color w:val="000000"/>
                <w:sz w:val="20"/>
                <w:szCs w:val="20"/>
              </w:rPr>
            </w:pPr>
            <w:r w:rsidRPr="004F5F2B">
              <w:rPr>
                <w:rFonts w:ascii="Verdana" w:hAnsi="Verdana"/>
                <w:color w:val="000000"/>
                <w:sz w:val="20"/>
                <w:szCs w:val="20"/>
              </w:rPr>
              <w:t>14 242 000 €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3B7BFA">
            <w:pPr>
              <w:spacing w:after="240"/>
              <w:jc w:val="center"/>
              <w:rPr>
                <w:rFonts w:ascii="Verdana" w:hAnsi="Verdana"/>
                <w:color w:val="000000"/>
                <w:sz w:val="20"/>
                <w:szCs w:val="20"/>
              </w:rPr>
            </w:pPr>
            <w:r w:rsidRPr="004F5F2B">
              <w:rPr>
                <w:rFonts w:ascii="Verdana" w:hAnsi="Verdana"/>
                <w:color w:val="000000"/>
                <w:sz w:val="20"/>
                <w:szCs w:val="20"/>
              </w:rPr>
              <w:t>14 527 000 €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3B7BFA">
            <w:pPr>
              <w:spacing w:after="240"/>
              <w:jc w:val="center"/>
              <w:rPr>
                <w:rFonts w:ascii="Verdana" w:hAnsi="Verdana"/>
                <w:color w:val="000000"/>
                <w:sz w:val="20"/>
                <w:szCs w:val="20"/>
              </w:rPr>
            </w:pPr>
            <w:r w:rsidRPr="004F5F2B">
              <w:rPr>
                <w:rFonts w:ascii="Verdana" w:hAnsi="Verdana"/>
                <w:color w:val="000000"/>
                <w:sz w:val="20"/>
                <w:szCs w:val="20"/>
              </w:rPr>
              <w:t>14 818 000 €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3B7BFA">
            <w:pPr>
              <w:spacing w:after="240"/>
              <w:jc w:val="center"/>
              <w:rPr>
                <w:rFonts w:ascii="Verdana" w:hAnsi="Verdana"/>
                <w:color w:val="000000"/>
                <w:sz w:val="20"/>
                <w:szCs w:val="20"/>
              </w:rPr>
            </w:pPr>
            <w:r w:rsidRPr="004F5F2B">
              <w:rPr>
                <w:rFonts w:ascii="Verdana" w:hAnsi="Verdana"/>
                <w:color w:val="000000"/>
                <w:sz w:val="20"/>
                <w:szCs w:val="20"/>
              </w:rPr>
              <w:t>74 301 000 €</w:t>
            </w:r>
          </w:p>
        </w:tc>
      </w:tr>
      <w:tr w:rsidR="00FF01A8" w:rsidRPr="004F5F2B" w:rsidTr="003B7BFA">
        <w:trPr>
          <w:trHeight w:val="272"/>
        </w:trPr>
        <w:tc>
          <w:tcPr>
            <w:tcW w:w="0" w:type="auto"/>
            <w:tcBorders>
              <w:top w:val="nil"/>
              <w:left w:val="single" w:sz="4" w:space="0" w:color="auto"/>
              <w:bottom w:val="single" w:sz="4" w:space="0" w:color="auto"/>
              <w:right w:val="single" w:sz="4" w:space="0" w:color="auto"/>
            </w:tcBorders>
            <w:shd w:val="clear" w:color="auto" w:fill="auto"/>
            <w:noWrap/>
            <w:vAlign w:val="bottom"/>
          </w:tcPr>
          <w:p w:rsidR="00FF01A8" w:rsidRPr="004F5F2B" w:rsidRDefault="00FF01A8" w:rsidP="00FF01A8">
            <w:pPr>
              <w:rPr>
                <w:rFonts w:ascii="Verdana" w:hAnsi="Verdana"/>
                <w:color w:val="000000"/>
                <w:sz w:val="20"/>
                <w:szCs w:val="20"/>
              </w:rPr>
            </w:pPr>
            <w:r w:rsidRPr="004F5F2B">
              <w:rPr>
                <w:rFonts w:ascii="Verdana" w:hAnsi="Verdana"/>
                <w:color w:val="000000"/>
                <w:sz w:val="20"/>
                <w:szCs w:val="20"/>
              </w:rPr>
              <w:t>IPA (where applicable)</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FF01A8">
            <w:pPr>
              <w:rPr>
                <w:rFonts w:ascii="Verdana" w:hAnsi="Verdana"/>
                <w:color w:val="000000"/>
                <w:sz w:val="20"/>
                <w:szCs w:val="20"/>
              </w:rPr>
            </w:pPr>
            <w:r w:rsidRPr="004F5F2B">
              <w:rPr>
                <w:rFonts w:ascii="Verdana" w:hAnsi="Verdana"/>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FF01A8">
            <w:pPr>
              <w:rPr>
                <w:rFonts w:ascii="Verdana" w:hAnsi="Verdana"/>
                <w:color w:val="000000"/>
                <w:sz w:val="20"/>
                <w:szCs w:val="20"/>
              </w:rPr>
            </w:pPr>
            <w:r w:rsidRPr="004F5F2B">
              <w:rPr>
                <w:rFonts w:ascii="Verdana" w:hAnsi="Verdana"/>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FF01A8">
            <w:pPr>
              <w:rPr>
                <w:rFonts w:ascii="Verdana" w:hAnsi="Verdana"/>
                <w:color w:val="000000"/>
                <w:sz w:val="20"/>
                <w:szCs w:val="20"/>
              </w:rPr>
            </w:pPr>
            <w:r w:rsidRPr="004F5F2B">
              <w:rPr>
                <w:rFonts w:ascii="Verdana" w:hAnsi="Verdana"/>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FF01A8">
            <w:pPr>
              <w:rPr>
                <w:rFonts w:ascii="Verdana" w:hAnsi="Verdana"/>
                <w:color w:val="000000"/>
                <w:sz w:val="20"/>
                <w:szCs w:val="20"/>
              </w:rPr>
            </w:pPr>
            <w:r w:rsidRPr="004F5F2B">
              <w:rPr>
                <w:rFonts w:ascii="Verdana" w:hAnsi="Verdana"/>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FF01A8">
            <w:pPr>
              <w:rPr>
                <w:rFonts w:ascii="Verdana" w:hAnsi="Verdana"/>
                <w:color w:val="000000"/>
                <w:sz w:val="20"/>
                <w:szCs w:val="20"/>
              </w:rPr>
            </w:pPr>
            <w:r w:rsidRPr="004F5F2B">
              <w:rPr>
                <w:rFonts w:ascii="Verdana" w:hAnsi="Verdana"/>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FF01A8">
            <w:pPr>
              <w:rPr>
                <w:rFonts w:ascii="Verdana" w:hAnsi="Verdana"/>
                <w:color w:val="000000"/>
                <w:sz w:val="20"/>
                <w:szCs w:val="20"/>
              </w:rPr>
            </w:pPr>
            <w:r w:rsidRPr="004F5F2B">
              <w:rPr>
                <w:rFonts w:ascii="Verdana" w:hAnsi="Verdana"/>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FF01A8">
            <w:pPr>
              <w:rPr>
                <w:rFonts w:ascii="Verdana" w:hAnsi="Verdana"/>
                <w:color w:val="000000"/>
                <w:sz w:val="20"/>
                <w:szCs w:val="20"/>
              </w:rPr>
            </w:pPr>
            <w:r w:rsidRPr="004F5F2B">
              <w:rPr>
                <w:rFonts w:ascii="Verdana" w:hAnsi="Verdana"/>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FF01A8">
            <w:pPr>
              <w:rPr>
                <w:rFonts w:ascii="Verdana" w:hAnsi="Verdana"/>
                <w:color w:val="000000"/>
                <w:sz w:val="20"/>
                <w:szCs w:val="20"/>
              </w:rPr>
            </w:pPr>
            <w:r w:rsidRPr="004F5F2B">
              <w:rPr>
                <w:rFonts w:ascii="Verdana" w:hAnsi="Verdana"/>
                <w:color w:val="000000"/>
                <w:sz w:val="20"/>
                <w:szCs w:val="20"/>
              </w:rPr>
              <w:t> </w:t>
            </w:r>
          </w:p>
        </w:tc>
      </w:tr>
      <w:tr w:rsidR="00FF01A8" w:rsidRPr="004F5F2B" w:rsidTr="00FF01A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FF01A8" w:rsidRPr="004F5F2B" w:rsidRDefault="00FF01A8" w:rsidP="00FF01A8">
            <w:pPr>
              <w:rPr>
                <w:rFonts w:ascii="Verdana" w:hAnsi="Verdana"/>
                <w:color w:val="000000"/>
                <w:sz w:val="20"/>
                <w:szCs w:val="20"/>
              </w:rPr>
            </w:pPr>
            <w:r w:rsidRPr="004F5F2B">
              <w:rPr>
                <w:rFonts w:ascii="Verdana" w:hAnsi="Verdana"/>
                <w:color w:val="000000"/>
                <w:sz w:val="20"/>
                <w:szCs w:val="20"/>
              </w:rPr>
              <w:t>ENI (where applicable)</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FF01A8">
            <w:pPr>
              <w:rPr>
                <w:rFonts w:ascii="Verdana" w:hAnsi="Verdana"/>
                <w:color w:val="000000"/>
                <w:sz w:val="20"/>
                <w:szCs w:val="20"/>
              </w:rPr>
            </w:pPr>
            <w:r w:rsidRPr="004F5F2B">
              <w:rPr>
                <w:rFonts w:ascii="Verdana" w:hAnsi="Verdana"/>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FF01A8">
            <w:pPr>
              <w:rPr>
                <w:rFonts w:ascii="Verdana" w:hAnsi="Verdana"/>
                <w:color w:val="000000"/>
                <w:sz w:val="20"/>
                <w:szCs w:val="20"/>
              </w:rPr>
            </w:pPr>
            <w:r w:rsidRPr="004F5F2B">
              <w:rPr>
                <w:rFonts w:ascii="Verdana" w:hAnsi="Verdana"/>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FF01A8">
            <w:pPr>
              <w:rPr>
                <w:rFonts w:ascii="Verdana" w:hAnsi="Verdana"/>
                <w:color w:val="000000"/>
                <w:sz w:val="20"/>
                <w:szCs w:val="20"/>
              </w:rPr>
            </w:pPr>
            <w:r w:rsidRPr="004F5F2B">
              <w:rPr>
                <w:rFonts w:ascii="Verdana" w:hAnsi="Verdana"/>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FF01A8">
            <w:pPr>
              <w:rPr>
                <w:rFonts w:ascii="Verdana" w:hAnsi="Verdana"/>
                <w:color w:val="000000"/>
                <w:sz w:val="20"/>
                <w:szCs w:val="20"/>
              </w:rPr>
            </w:pPr>
            <w:r w:rsidRPr="004F5F2B">
              <w:rPr>
                <w:rFonts w:ascii="Verdana" w:hAnsi="Verdana"/>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FF01A8">
            <w:pPr>
              <w:rPr>
                <w:rFonts w:ascii="Verdana" w:hAnsi="Verdana"/>
                <w:color w:val="000000"/>
                <w:sz w:val="20"/>
                <w:szCs w:val="20"/>
              </w:rPr>
            </w:pPr>
            <w:r w:rsidRPr="004F5F2B">
              <w:rPr>
                <w:rFonts w:ascii="Verdana" w:hAnsi="Verdana"/>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FF01A8">
            <w:pPr>
              <w:rPr>
                <w:rFonts w:ascii="Verdana" w:hAnsi="Verdana"/>
                <w:color w:val="000000"/>
                <w:sz w:val="20"/>
                <w:szCs w:val="20"/>
              </w:rPr>
            </w:pPr>
            <w:r w:rsidRPr="004F5F2B">
              <w:rPr>
                <w:rFonts w:ascii="Verdana" w:hAnsi="Verdana"/>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FF01A8">
            <w:pPr>
              <w:rPr>
                <w:rFonts w:ascii="Verdana" w:hAnsi="Verdana"/>
                <w:color w:val="000000"/>
                <w:sz w:val="20"/>
                <w:szCs w:val="20"/>
              </w:rPr>
            </w:pPr>
            <w:r w:rsidRPr="004F5F2B">
              <w:rPr>
                <w:rFonts w:ascii="Verdana" w:hAnsi="Verdana"/>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FF01A8">
            <w:pPr>
              <w:rPr>
                <w:rFonts w:ascii="Verdana" w:hAnsi="Verdana"/>
                <w:color w:val="000000"/>
                <w:sz w:val="20"/>
                <w:szCs w:val="20"/>
              </w:rPr>
            </w:pPr>
            <w:r w:rsidRPr="004F5F2B">
              <w:rPr>
                <w:rFonts w:ascii="Verdana" w:hAnsi="Verdana"/>
                <w:color w:val="000000"/>
                <w:sz w:val="20"/>
                <w:szCs w:val="20"/>
              </w:rPr>
              <w:t> </w:t>
            </w:r>
          </w:p>
        </w:tc>
      </w:tr>
      <w:tr w:rsidR="00FF01A8" w:rsidRPr="003B7BFA" w:rsidTr="003B7BFA">
        <w:trPr>
          <w:trHeight w:val="504"/>
        </w:trPr>
        <w:tc>
          <w:tcPr>
            <w:tcW w:w="0" w:type="auto"/>
            <w:tcBorders>
              <w:top w:val="nil"/>
              <w:left w:val="single" w:sz="4" w:space="0" w:color="auto"/>
              <w:bottom w:val="single" w:sz="4" w:space="0" w:color="auto"/>
              <w:right w:val="single" w:sz="4" w:space="0" w:color="auto"/>
            </w:tcBorders>
            <w:shd w:val="clear" w:color="auto" w:fill="auto"/>
            <w:noWrap/>
            <w:vAlign w:val="bottom"/>
          </w:tcPr>
          <w:p w:rsidR="00FF01A8" w:rsidRPr="003B7BFA" w:rsidRDefault="00FF01A8" w:rsidP="003B7BFA">
            <w:pPr>
              <w:spacing w:after="240"/>
              <w:jc w:val="center"/>
              <w:rPr>
                <w:rFonts w:ascii="Verdana" w:hAnsi="Verdana"/>
                <w:b/>
                <w:color w:val="000000"/>
                <w:sz w:val="20"/>
                <w:szCs w:val="20"/>
              </w:rPr>
            </w:pPr>
            <w:r w:rsidRPr="003B7BFA">
              <w:rPr>
                <w:rFonts w:ascii="Verdana" w:hAnsi="Verdana"/>
                <w:b/>
                <w:color w:val="000000"/>
                <w:sz w:val="20"/>
                <w:szCs w:val="20"/>
              </w:rPr>
              <w:t>Total</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3B7BFA">
            <w:pPr>
              <w:spacing w:after="240"/>
              <w:jc w:val="center"/>
              <w:rPr>
                <w:rFonts w:ascii="Verdana" w:hAnsi="Verdana"/>
                <w:color w:val="000000"/>
                <w:sz w:val="20"/>
                <w:szCs w:val="20"/>
              </w:rPr>
            </w:pPr>
            <w:r w:rsidRPr="004F5F2B">
              <w:rPr>
                <w:rFonts w:ascii="Verdana" w:hAnsi="Verdana"/>
                <w:color w:val="000000"/>
                <w:sz w:val="20"/>
                <w:szCs w:val="20"/>
              </w:rPr>
              <w:t>3 685 000 €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3B7BFA">
            <w:pPr>
              <w:spacing w:after="240"/>
              <w:jc w:val="center"/>
              <w:rPr>
                <w:rFonts w:ascii="Verdana" w:hAnsi="Verdana"/>
                <w:color w:val="000000"/>
                <w:sz w:val="20"/>
                <w:szCs w:val="20"/>
              </w:rPr>
            </w:pPr>
            <w:r w:rsidRPr="004F5F2B">
              <w:rPr>
                <w:rFonts w:ascii="Verdana" w:hAnsi="Verdana"/>
                <w:color w:val="000000"/>
                <w:sz w:val="20"/>
                <w:szCs w:val="20"/>
              </w:rPr>
              <w:t>5 381 000 €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3B7BFA">
            <w:pPr>
              <w:spacing w:after="240"/>
              <w:jc w:val="center"/>
              <w:rPr>
                <w:rFonts w:ascii="Verdana" w:hAnsi="Verdana"/>
                <w:color w:val="000000"/>
                <w:sz w:val="20"/>
                <w:szCs w:val="20"/>
              </w:rPr>
            </w:pPr>
            <w:r w:rsidRPr="004F5F2B">
              <w:rPr>
                <w:rFonts w:ascii="Verdana" w:hAnsi="Verdana"/>
                <w:color w:val="000000"/>
                <w:sz w:val="20"/>
                <w:szCs w:val="20"/>
              </w:rPr>
              <w:t>7 685 000 €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3B7BFA">
            <w:pPr>
              <w:spacing w:after="240"/>
              <w:jc w:val="center"/>
              <w:rPr>
                <w:rFonts w:ascii="Verdana" w:hAnsi="Verdana"/>
                <w:color w:val="000000"/>
                <w:sz w:val="20"/>
                <w:szCs w:val="20"/>
              </w:rPr>
            </w:pPr>
            <w:r w:rsidRPr="004F5F2B">
              <w:rPr>
                <w:rFonts w:ascii="Verdana" w:hAnsi="Verdana"/>
                <w:color w:val="000000"/>
                <w:sz w:val="20"/>
                <w:szCs w:val="20"/>
              </w:rPr>
              <w:t>13 963 000 €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3B7BFA">
            <w:pPr>
              <w:spacing w:after="240"/>
              <w:jc w:val="center"/>
              <w:rPr>
                <w:rFonts w:ascii="Verdana" w:hAnsi="Verdana"/>
                <w:color w:val="000000"/>
                <w:sz w:val="20"/>
                <w:szCs w:val="20"/>
              </w:rPr>
            </w:pPr>
            <w:r w:rsidRPr="004F5F2B">
              <w:rPr>
                <w:rFonts w:ascii="Verdana" w:hAnsi="Verdana"/>
                <w:color w:val="000000"/>
                <w:sz w:val="20"/>
                <w:szCs w:val="20"/>
              </w:rPr>
              <w:t>14 242 000 €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3B7BFA">
            <w:pPr>
              <w:spacing w:after="240"/>
              <w:jc w:val="center"/>
              <w:rPr>
                <w:rFonts w:ascii="Verdana" w:hAnsi="Verdana"/>
                <w:color w:val="000000"/>
                <w:sz w:val="20"/>
                <w:szCs w:val="20"/>
              </w:rPr>
            </w:pPr>
            <w:r w:rsidRPr="004F5F2B">
              <w:rPr>
                <w:rFonts w:ascii="Verdana" w:hAnsi="Verdana"/>
                <w:color w:val="000000"/>
                <w:sz w:val="20"/>
                <w:szCs w:val="20"/>
              </w:rPr>
              <w:t>14 527 000 €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3B7BFA">
            <w:pPr>
              <w:spacing w:after="240"/>
              <w:jc w:val="center"/>
              <w:rPr>
                <w:rFonts w:ascii="Verdana" w:hAnsi="Verdana"/>
                <w:color w:val="000000"/>
                <w:sz w:val="20"/>
                <w:szCs w:val="20"/>
              </w:rPr>
            </w:pPr>
            <w:r w:rsidRPr="004F5F2B">
              <w:rPr>
                <w:rFonts w:ascii="Verdana" w:hAnsi="Verdana"/>
                <w:color w:val="000000"/>
                <w:sz w:val="20"/>
                <w:szCs w:val="20"/>
              </w:rPr>
              <w:t>14 818 000 €</w:t>
            </w:r>
          </w:p>
        </w:tc>
        <w:tc>
          <w:tcPr>
            <w:tcW w:w="0" w:type="auto"/>
            <w:tcBorders>
              <w:top w:val="nil"/>
              <w:left w:val="nil"/>
              <w:bottom w:val="single" w:sz="4" w:space="0" w:color="auto"/>
              <w:right w:val="single" w:sz="4" w:space="0" w:color="auto"/>
            </w:tcBorders>
            <w:shd w:val="clear" w:color="auto" w:fill="auto"/>
            <w:noWrap/>
            <w:vAlign w:val="bottom"/>
          </w:tcPr>
          <w:p w:rsidR="00FF01A8" w:rsidRPr="004F5F2B" w:rsidRDefault="00FF01A8" w:rsidP="003B7BFA">
            <w:pPr>
              <w:spacing w:after="240"/>
              <w:jc w:val="center"/>
              <w:rPr>
                <w:rFonts w:ascii="Verdana" w:hAnsi="Verdana"/>
                <w:color w:val="000000"/>
                <w:sz w:val="20"/>
                <w:szCs w:val="20"/>
              </w:rPr>
            </w:pPr>
            <w:r w:rsidRPr="004F5F2B">
              <w:rPr>
                <w:rFonts w:ascii="Verdana" w:hAnsi="Verdana"/>
                <w:color w:val="000000"/>
                <w:sz w:val="20"/>
                <w:szCs w:val="20"/>
              </w:rPr>
              <w:t>74 301 000 €</w:t>
            </w:r>
          </w:p>
        </w:tc>
      </w:tr>
    </w:tbl>
    <w:p w:rsidR="00FF01A8" w:rsidRPr="004F5F2B" w:rsidRDefault="00FF01A8" w:rsidP="00FF01A8">
      <w:pPr>
        <w:rPr>
          <w:rFonts w:ascii="Verdana" w:hAnsi="Verdana"/>
          <w:sz w:val="16"/>
          <w:szCs w:val="16"/>
        </w:rPr>
      </w:pPr>
    </w:p>
    <w:p w:rsidR="00FF01A8" w:rsidRPr="004F5F2B" w:rsidRDefault="00FF01A8" w:rsidP="00FF01A8">
      <w:pPr>
        <w:rPr>
          <w:rFonts w:ascii="Verdana" w:hAnsi="Verdana"/>
          <w:sz w:val="16"/>
          <w:szCs w:val="16"/>
        </w:rPr>
      </w:pPr>
      <w:r w:rsidRPr="004F5F2B">
        <w:rPr>
          <w:rFonts w:ascii="Verdana" w:hAnsi="Verdana"/>
          <w:sz w:val="16"/>
          <w:szCs w:val="16"/>
        </w:rPr>
        <w:br w:type="page"/>
      </w:r>
    </w:p>
    <w:p w:rsidR="00FF01A8" w:rsidRPr="001B277B" w:rsidRDefault="00FF01A8" w:rsidP="001B277B">
      <w:pPr>
        <w:pStyle w:val="2"/>
        <w:numPr>
          <w:ilvl w:val="1"/>
          <w:numId w:val="3"/>
        </w:numPr>
        <w:rPr>
          <w:bCs w:val="0"/>
          <w:sz w:val="22"/>
          <w:szCs w:val="22"/>
        </w:rPr>
      </w:pPr>
      <w:bookmarkStart w:id="28" w:name="_Toc384648451"/>
      <w:r w:rsidRPr="001B277B">
        <w:rPr>
          <w:sz w:val="22"/>
          <w:szCs w:val="22"/>
        </w:rPr>
        <w:t>A financial plan of the cooperation</w:t>
      </w:r>
      <w:bookmarkEnd w:id="28"/>
      <w:r w:rsidRPr="001B277B">
        <w:rPr>
          <w:bCs w:val="0"/>
          <w:sz w:val="22"/>
          <w:szCs w:val="22"/>
        </w:rPr>
        <w:t xml:space="preserve"> programme specifying, for the whole programming period, for the programme priority axis, the amount of the total financial appropriation of the support from the ERDF and the national counterparts</w:t>
      </w:r>
    </w:p>
    <w:tbl>
      <w:tblPr>
        <w:tblW w:w="13566" w:type="dxa"/>
        <w:tblInd w:w="55" w:type="dxa"/>
        <w:tblCellMar>
          <w:left w:w="70" w:type="dxa"/>
          <w:right w:w="70" w:type="dxa"/>
        </w:tblCellMar>
        <w:tblLook w:val="04A0" w:firstRow="1" w:lastRow="0" w:firstColumn="1" w:lastColumn="0" w:noHBand="0" w:noVBand="1"/>
      </w:tblPr>
      <w:tblGrid>
        <w:gridCol w:w="1500"/>
        <w:gridCol w:w="1200"/>
        <w:gridCol w:w="1200"/>
        <w:gridCol w:w="821"/>
        <w:gridCol w:w="379"/>
        <w:gridCol w:w="921"/>
        <w:gridCol w:w="279"/>
        <w:gridCol w:w="1021"/>
        <w:gridCol w:w="179"/>
        <w:gridCol w:w="1121"/>
        <w:gridCol w:w="79"/>
        <w:gridCol w:w="1200"/>
        <w:gridCol w:w="21"/>
        <w:gridCol w:w="1179"/>
        <w:gridCol w:w="121"/>
        <w:gridCol w:w="1079"/>
        <w:gridCol w:w="221"/>
        <w:gridCol w:w="1045"/>
      </w:tblGrid>
      <w:tr w:rsidR="00FF01A8" w:rsidRPr="00C4514D" w:rsidTr="00C4514D">
        <w:trPr>
          <w:gridAfter w:val="1"/>
          <w:wAfter w:w="1045" w:type="dxa"/>
          <w:trHeight w:val="300"/>
        </w:trPr>
        <w:tc>
          <w:tcPr>
            <w:tcW w:w="4721" w:type="dxa"/>
            <w:gridSpan w:val="4"/>
            <w:tcBorders>
              <w:top w:val="nil"/>
              <w:left w:val="nil"/>
              <w:bottom w:val="nil"/>
              <w:right w:val="nil"/>
            </w:tcBorders>
            <w:shd w:val="clear" w:color="auto" w:fill="auto"/>
            <w:noWrap/>
            <w:vAlign w:val="bottom"/>
          </w:tcPr>
          <w:p w:rsidR="00C4514D" w:rsidRPr="00C4514D" w:rsidRDefault="00C4514D" w:rsidP="00FF01A8">
            <w:pPr>
              <w:rPr>
                <w:rFonts w:ascii="Verdana" w:hAnsi="Verdana"/>
                <w:b/>
                <w:bCs/>
                <w:color w:val="000000"/>
                <w:sz w:val="22"/>
                <w:szCs w:val="22"/>
              </w:rPr>
            </w:pPr>
          </w:p>
          <w:p w:rsidR="00FF01A8" w:rsidRPr="00C4514D" w:rsidRDefault="00FF01A8" w:rsidP="00FF01A8">
            <w:pPr>
              <w:rPr>
                <w:rFonts w:ascii="Verdana" w:hAnsi="Verdana"/>
                <w:b/>
                <w:bCs/>
                <w:color w:val="000000"/>
                <w:sz w:val="22"/>
                <w:szCs w:val="22"/>
              </w:rPr>
            </w:pPr>
            <w:r w:rsidRPr="00C4514D">
              <w:rPr>
                <w:rFonts w:ascii="Verdana" w:hAnsi="Verdana"/>
                <w:b/>
                <w:bCs/>
                <w:color w:val="000000"/>
                <w:sz w:val="22"/>
                <w:szCs w:val="22"/>
              </w:rPr>
              <w:t xml:space="preserve">Table 16 </w:t>
            </w:r>
          </w:p>
        </w:tc>
        <w:tc>
          <w:tcPr>
            <w:tcW w:w="1300" w:type="dxa"/>
            <w:gridSpan w:val="2"/>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1300" w:type="dxa"/>
            <w:gridSpan w:val="2"/>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1300" w:type="dxa"/>
            <w:gridSpan w:val="2"/>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1300" w:type="dxa"/>
            <w:gridSpan w:val="3"/>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1300" w:type="dxa"/>
            <w:gridSpan w:val="2"/>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1300" w:type="dxa"/>
            <w:gridSpan w:val="2"/>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r>
      <w:tr w:rsidR="00FF01A8" w:rsidRPr="004F5F2B" w:rsidTr="00C4514D">
        <w:trPr>
          <w:trHeight w:val="315"/>
        </w:trPr>
        <w:tc>
          <w:tcPr>
            <w:tcW w:w="1500" w:type="dxa"/>
            <w:tcBorders>
              <w:top w:val="nil"/>
              <w:left w:val="nil"/>
              <w:bottom w:val="nil"/>
              <w:right w:val="nil"/>
            </w:tcBorders>
            <w:shd w:val="clear" w:color="auto" w:fill="auto"/>
            <w:noWrap/>
            <w:vAlign w:val="bottom"/>
          </w:tcPr>
          <w:p w:rsidR="00FF01A8" w:rsidRPr="004F5F2B" w:rsidRDefault="00FF01A8" w:rsidP="00FF01A8">
            <w:pPr>
              <w:rPr>
                <w:rFonts w:ascii="Calibri" w:hAnsi="Calibri"/>
                <w:color w:val="000000"/>
              </w:rPr>
            </w:pPr>
          </w:p>
        </w:tc>
        <w:tc>
          <w:tcPr>
            <w:tcW w:w="1200" w:type="dxa"/>
            <w:tcBorders>
              <w:top w:val="nil"/>
              <w:left w:val="nil"/>
              <w:bottom w:val="nil"/>
              <w:right w:val="nil"/>
            </w:tcBorders>
            <w:shd w:val="clear" w:color="auto" w:fill="auto"/>
            <w:noWrap/>
            <w:vAlign w:val="bottom"/>
          </w:tcPr>
          <w:p w:rsidR="00FF01A8" w:rsidRPr="004F5F2B" w:rsidRDefault="00FF01A8" w:rsidP="00FF01A8">
            <w:pPr>
              <w:rPr>
                <w:rFonts w:ascii="Calibri" w:hAnsi="Calibri"/>
                <w:color w:val="000000"/>
              </w:rPr>
            </w:pPr>
          </w:p>
        </w:tc>
        <w:tc>
          <w:tcPr>
            <w:tcW w:w="1200" w:type="dxa"/>
            <w:tcBorders>
              <w:top w:val="nil"/>
              <w:left w:val="nil"/>
              <w:bottom w:val="nil"/>
              <w:right w:val="nil"/>
            </w:tcBorders>
            <w:shd w:val="clear" w:color="auto" w:fill="auto"/>
            <w:noWrap/>
            <w:vAlign w:val="bottom"/>
          </w:tcPr>
          <w:p w:rsidR="00FF01A8" w:rsidRPr="004F5F2B" w:rsidRDefault="00FF01A8" w:rsidP="00FF01A8">
            <w:pPr>
              <w:rPr>
                <w:rFonts w:ascii="Calibri" w:hAnsi="Calibri"/>
                <w:color w:val="000000"/>
              </w:rPr>
            </w:pPr>
          </w:p>
        </w:tc>
        <w:tc>
          <w:tcPr>
            <w:tcW w:w="1200" w:type="dxa"/>
            <w:gridSpan w:val="2"/>
            <w:tcBorders>
              <w:top w:val="nil"/>
              <w:left w:val="nil"/>
              <w:bottom w:val="nil"/>
              <w:right w:val="nil"/>
            </w:tcBorders>
            <w:shd w:val="clear" w:color="auto" w:fill="auto"/>
            <w:noWrap/>
            <w:vAlign w:val="bottom"/>
          </w:tcPr>
          <w:p w:rsidR="00FF01A8" w:rsidRPr="004F5F2B" w:rsidRDefault="00FF01A8" w:rsidP="00FF01A8">
            <w:pPr>
              <w:rPr>
                <w:rFonts w:ascii="Calibri" w:hAnsi="Calibri"/>
                <w:color w:val="000000"/>
              </w:rPr>
            </w:pPr>
          </w:p>
        </w:tc>
        <w:tc>
          <w:tcPr>
            <w:tcW w:w="1200" w:type="dxa"/>
            <w:gridSpan w:val="2"/>
            <w:tcBorders>
              <w:top w:val="nil"/>
              <w:left w:val="nil"/>
              <w:bottom w:val="nil"/>
              <w:right w:val="nil"/>
            </w:tcBorders>
            <w:shd w:val="clear" w:color="auto" w:fill="auto"/>
            <w:noWrap/>
            <w:vAlign w:val="bottom"/>
          </w:tcPr>
          <w:p w:rsidR="00FF01A8" w:rsidRPr="004F5F2B" w:rsidRDefault="00FF01A8" w:rsidP="00FF01A8">
            <w:pPr>
              <w:rPr>
                <w:rFonts w:ascii="Calibri" w:hAnsi="Calibri"/>
                <w:color w:val="000000"/>
              </w:rPr>
            </w:pPr>
          </w:p>
        </w:tc>
        <w:tc>
          <w:tcPr>
            <w:tcW w:w="1200" w:type="dxa"/>
            <w:gridSpan w:val="2"/>
            <w:tcBorders>
              <w:top w:val="nil"/>
              <w:left w:val="nil"/>
              <w:bottom w:val="nil"/>
              <w:right w:val="nil"/>
            </w:tcBorders>
            <w:shd w:val="clear" w:color="auto" w:fill="auto"/>
            <w:noWrap/>
            <w:vAlign w:val="bottom"/>
          </w:tcPr>
          <w:p w:rsidR="00FF01A8" w:rsidRPr="004F5F2B" w:rsidRDefault="00FF01A8" w:rsidP="00FF01A8">
            <w:pPr>
              <w:rPr>
                <w:rFonts w:ascii="Calibri" w:hAnsi="Calibri"/>
                <w:color w:val="000000"/>
              </w:rPr>
            </w:pPr>
          </w:p>
        </w:tc>
        <w:tc>
          <w:tcPr>
            <w:tcW w:w="1200" w:type="dxa"/>
            <w:gridSpan w:val="2"/>
            <w:tcBorders>
              <w:top w:val="nil"/>
              <w:left w:val="nil"/>
              <w:bottom w:val="nil"/>
              <w:right w:val="nil"/>
            </w:tcBorders>
            <w:shd w:val="clear" w:color="auto" w:fill="auto"/>
            <w:noWrap/>
            <w:vAlign w:val="bottom"/>
          </w:tcPr>
          <w:p w:rsidR="00FF01A8" w:rsidRPr="004F5F2B" w:rsidRDefault="00FF01A8" w:rsidP="00FF01A8">
            <w:pPr>
              <w:rPr>
                <w:rFonts w:ascii="Calibri" w:hAnsi="Calibri"/>
                <w:color w:val="000000"/>
              </w:rPr>
            </w:pPr>
          </w:p>
        </w:tc>
        <w:tc>
          <w:tcPr>
            <w:tcW w:w="1200" w:type="dxa"/>
            <w:tcBorders>
              <w:top w:val="nil"/>
              <w:left w:val="nil"/>
              <w:bottom w:val="nil"/>
              <w:right w:val="nil"/>
            </w:tcBorders>
            <w:shd w:val="clear" w:color="auto" w:fill="auto"/>
            <w:noWrap/>
            <w:vAlign w:val="bottom"/>
          </w:tcPr>
          <w:p w:rsidR="00FF01A8" w:rsidRPr="004F5F2B" w:rsidRDefault="00FF01A8" w:rsidP="00FF01A8">
            <w:pPr>
              <w:rPr>
                <w:rFonts w:ascii="Calibri" w:hAnsi="Calibri"/>
                <w:color w:val="000000"/>
              </w:rPr>
            </w:pPr>
          </w:p>
        </w:tc>
        <w:tc>
          <w:tcPr>
            <w:tcW w:w="1200" w:type="dxa"/>
            <w:gridSpan w:val="2"/>
            <w:tcBorders>
              <w:top w:val="nil"/>
              <w:left w:val="nil"/>
              <w:bottom w:val="nil"/>
              <w:right w:val="nil"/>
            </w:tcBorders>
            <w:shd w:val="clear" w:color="auto" w:fill="auto"/>
            <w:noWrap/>
            <w:vAlign w:val="bottom"/>
          </w:tcPr>
          <w:p w:rsidR="00FF01A8" w:rsidRPr="004F5F2B" w:rsidRDefault="00FF01A8" w:rsidP="00FF01A8">
            <w:pPr>
              <w:rPr>
                <w:rFonts w:ascii="Calibri" w:hAnsi="Calibri"/>
                <w:color w:val="000000"/>
              </w:rPr>
            </w:pPr>
          </w:p>
        </w:tc>
        <w:tc>
          <w:tcPr>
            <w:tcW w:w="1200" w:type="dxa"/>
            <w:gridSpan w:val="2"/>
            <w:tcBorders>
              <w:top w:val="nil"/>
              <w:left w:val="nil"/>
              <w:bottom w:val="nil"/>
              <w:right w:val="nil"/>
            </w:tcBorders>
            <w:shd w:val="clear" w:color="auto" w:fill="auto"/>
            <w:noWrap/>
            <w:vAlign w:val="bottom"/>
          </w:tcPr>
          <w:p w:rsidR="00FF01A8" w:rsidRPr="004F5F2B" w:rsidRDefault="00FF01A8" w:rsidP="00FF01A8">
            <w:pPr>
              <w:rPr>
                <w:rFonts w:ascii="Calibri" w:hAnsi="Calibri"/>
                <w:color w:val="000000"/>
              </w:rPr>
            </w:pPr>
          </w:p>
        </w:tc>
        <w:tc>
          <w:tcPr>
            <w:tcW w:w="1266" w:type="dxa"/>
            <w:gridSpan w:val="2"/>
            <w:tcBorders>
              <w:top w:val="nil"/>
              <w:left w:val="nil"/>
              <w:bottom w:val="nil"/>
              <w:right w:val="nil"/>
            </w:tcBorders>
            <w:shd w:val="clear" w:color="auto" w:fill="auto"/>
            <w:noWrap/>
            <w:vAlign w:val="bottom"/>
          </w:tcPr>
          <w:p w:rsidR="00FF01A8" w:rsidRPr="004F5F2B" w:rsidRDefault="00FF01A8" w:rsidP="00FF01A8">
            <w:pPr>
              <w:rPr>
                <w:rFonts w:ascii="Calibri" w:hAnsi="Calibri"/>
                <w:color w:val="000000"/>
              </w:rPr>
            </w:pPr>
          </w:p>
        </w:tc>
      </w:tr>
      <w:tr w:rsidR="00FF01A8" w:rsidRPr="004F5F2B" w:rsidTr="00C4514D">
        <w:trPr>
          <w:trHeight w:val="900"/>
        </w:trPr>
        <w:tc>
          <w:tcPr>
            <w:tcW w:w="1500" w:type="dxa"/>
            <w:tcBorders>
              <w:top w:val="nil"/>
              <w:left w:val="nil"/>
              <w:bottom w:val="nil"/>
              <w:right w:val="nil"/>
            </w:tcBorders>
            <w:shd w:val="clear" w:color="auto" w:fill="auto"/>
            <w:noWrap/>
            <w:vAlign w:val="bottom"/>
          </w:tcPr>
          <w:p w:rsidR="00FF01A8" w:rsidRPr="004F5F2B" w:rsidRDefault="00FF01A8" w:rsidP="00FF01A8">
            <w:pPr>
              <w:rPr>
                <w:rFonts w:ascii="Verdana" w:hAnsi="Verdana"/>
                <w:color w:val="000000"/>
              </w:rPr>
            </w:pP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 </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Fund</w:t>
            </w:r>
          </w:p>
        </w:tc>
        <w:tc>
          <w:tcPr>
            <w:tcW w:w="1200" w:type="dxa"/>
            <w:gridSpan w:val="2"/>
            <w:tcBorders>
              <w:top w:val="single" w:sz="8" w:space="0" w:color="auto"/>
              <w:left w:val="nil"/>
              <w:bottom w:val="nil"/>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Basis for the calculation of the Union support</w:t>
            </w:r>
          </w:p>
        </w:tc>
        <w:tc>
          <w:tcPr>
            <w:tcW w:w="1200" w:type="dxa"/>
            <w:gridSpan w:val="2"/>
            <w:vMerge w:val="restart"/>
            <w:tcBorders>
              <w:top w:val="single" w:sz="8" w:space="0" w:color="auto"/>
              <w:left w:val="single" w:sz="8" w:space="0" w:color="auto"/>
              <w:bottom w:val="single" w:sz="8" w:space="0" w:color="000000"/>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Union support (a)</w:t>
            </w:r>
          </w:p>
        </w:tc>
        <w:tc>
          <w:tcPr>
            <w:tcW w:w="1200" w:type="dxa"/>
            <w:gridSpan w:val="2"/>
            <w:tcBorders>
              <w:top w:val="single" w:sz="8" w:space="0" w:color="auto"/>
              <w:left w:val="nil"/>
              <w:bottom w:val="nil"/>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National counterpart</w:t>
            </w:r>
          </w:p>
        </w:tc>
        <w:tc>
          <w:tcPr>
            <w:tcW w:w="2400" w:type="dxa"/>
            <w:gridSpan w:val="3"/>
            <w:vMerge w:val="restart"/>
            <w:tcBorders>
              <w:top w:val="single" w:sz="8" w:space="0" w:color="auto"/>
              <w:left w:val="single" w:sz="8" w:space="0" w:color="auto"/>
              <w:bottom w:val="single" w:sz="8" w:space="0" w:color="000000"/>
              <w:right w:val="single" w:sz="8" w:space="0" w:color="000000"/>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Indicative breakdown of the national counterpart</w:t>
            </w:r>
          </w:p>
        </w:tc>
        <w:tc>
          <w:tcPr>
            <w:tcW w:w="1200" w:type="dxa"/>
            <w:gridSpan w:val="2"/>
            <w:tcBorders>
              <w:top w:val="single" w:sz="8" w:space="0" w:color="auto"/>
              <w:left w:val="nil"/>
              <w:bottom w:val="nil"/>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Total funding</w:t>
            </w:r>
          </w:p>
        </w:tc>
        <w:tc>
          <w:tcPr>
            <w:tcW w:w="1200" w:type="dxa"/>
            <w:gridSpan w:val="2"/>
            <w:tcBorders>
              <w:top w:val="single" w:sz="8" w:space="0" w:color="auto"/>
              <w:left w:val="nil"/>
              <w:bottom w:val="nil"/>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Co-financing rate</w:t>
            </w:r>
          </w:p>
        </w:tc>
        <w:tc>
          <w:tcPr>
            <w:tcW w:w="1266" w:type="dxa"/>
            <w:gridSpan w:val="2"/>
            <w:tcBorders>
              <w:top w:val="single" w:sz="8" w:space="0" w:color="auto"/>
              <w:left w:val="nil"/>
              <w:bottom w:val="nil"/>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 xml:space="preserve">For </w:t>
            </w:r>
          </w:p>
        </w:tc>
      </w:tr>
      <w:tr w:rsidR="00FF01A8" w:rsidRPr="004F5F2B" w:rsidTr="00C4514D">
        <w:trPr>
          <w:trHeight w:val="690"/>
        </w:trPr>
        <w:tc>
          <w:tcPr>
            <w:tcW w:w="1500" w:type="dxa"/>
            <w:tcBorders>
              <w:top w:val="nil"/>
              <w:left w:val="nil"/>
              <w:bottom w:val="nil"/>
              <w:right w:val="nil"/>
            </w:tcBorders>
            <w:shd w:val="clear" w:color="auto" w:fill="auto"/>
            <w:noWrap/>
            <w:vAlign w:val="bottom"/>
          </w:tcPr>
          <w:p w:rsidR="00FF01A8" w:rsidRPr="004F5F2B" w:rsidRDefault="00FF01A8" w:rsidP="00FF01A8">
            <w:pPr>
              <w:rPr>
                <w:rFonts w:ascii="Verdana" w:hAnsi="Verdana"/>
                <w:color w:val="000000"/>
              </w:rPr>
            </w:pPr>
          </w:p>
        </w:tc>
        <w:tc>
          <w:tcPr>
            <w:tcW w:w="1200" w:type="dxa"/>
            <w:vMerge/>
            <w:tcBorders>
              <w:top w:val="single" w:sz="8" w:space="0" w:color="auto"/>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vMerge/>
            <w:tcBorders>
              <w:top w:val="single" w:sz="8" w:space="0" w:color="auto"/>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gridSpan w:val="2"/>
            <w:tcBorders>
              <w:top w:val="nil"/>
              <w:left w:val="nil"/>
              <w:bottom w:val="single" w:sz="8" w:space="0" w:color="auto"/>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(Total eligible cost or public eligible cost)</w:t>
            </w:r>
          </w:p>
        </w:tc>
        <w:tc>
          <w:tcPr>
            <w:tcW w:w="1200" w:type="dxa"/>
            <w:gridSpan w:val="2"/>
            <w:vMerge/>
            <w:tcBorders>
              <w:top w:val="single" w:sz="8" w:space="0" w:color="auto"/>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gridSpan w:val="2"/>
            <w:tcBorders>
              <w:top w:val="nil"/>
              <w:left w:val="nil"/>
              <w:bottom w:val="single" w:sz="8" w:space="0" w:color="auto"/>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(b) = (c) + (d))</w:t>
            </w:r>
          </w:p>
        </w:tc>
        <w:tc>
          <w:tcPr>
            <w:tcW w:w="2400" w:type="dxa"/>
            <w:gridSpan w:val="3"/>
            <w:vMerge/>
            <w:tcBorders>
              <w:top w:val="nil"/>
              <w:left w:val="nil"/>
              <w:bottom w:val="single" w:sz="8" w:space="0" w:color="auto"/>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gridSpan w:val="2"/>
            <w:tcBorders>
              <w:top w:val="nil"/>
              <w:left w:val="nil"/>
              <w:bottom w:val="single" w:sz="8" w:space="0" w:color="auto"/>
              <w:right w:val="single" w:sz="8" w:space="0" w:color="auto"/>
            </w:tcBorders>
            <w:shd w:val="clear" w:color="auto" w:fill="auto"/>
          </w:tcPr>
          <w:p w:rsidR="00FF01A8" w:rsidRPr="004F5F2B" w:rsidRDefault="00FA25C5" w:rsidP="003B7BFA">
            <w:pPr>
              <w:spacing w:before="120"/>
              <w:jc w:val="both"/>
              <w:rPr>
                <w:rFonts w:ascii="Verdana" w:hAnsi="Verdana"/>
                <w:color w:val="0000FF"/>
                <w:sz w:val="16"/>
                <w:szCs w:val="16"/>
                <w:u w:val="single"/>
              </w:rPr>
            </w:pPr>
            <w:hyperlink r:id="rId28" w:anchor="E0079#E0079" w:history="1">
              <w:r w:rsidR="00FF01A8" w:rsidRPr="004F5F2B">
                <w:rPr>
                  <w:rFonts w:ascii="Verdana" w:hAnsi="Verdana"/>
                  <w:color w:val="0000FF"/>
                  <w:sz w:val="16"/>
                  <w:szCs w:val="16"/>
                  <w:u w:val="single"/>
                </w:rPr>
                <w:t>(e) = (a) + (b) (2)</w:t>
              </w:r>
            </w:hyperlink>
          </w:p>
        </w:tc>
        <w:tc>
          <w:tcPr>
            <w:tcW w:w="1200" w:type="dxa"/>
            <w:gridSpan w:val="2"/>
            <w:tcBorders>
              <w:top w:val="nil"/>
              <w:left w:val="nil"/>
              <w:bottom w:val="single" w:sz="8" w:space="0" w:color="auto"/>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(f)  = (a)/(e)</w:t>
            </w:r>
          </w:p>
        </w:tc>
        <w:tc>
          <w:tcPr>
            <w:tcW w:w="1266" w:type="dxa"/>
            <w:gridSpan w:val="2"/>
            <w:tcBorders>
              <w:top w:val="nil"/>
              <w:left w:val="nil"/>
              <w:bottom w:val="single" w:sz="8" w:space="0" w:color="auto"/>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information</w:t>
            </w:r>
          </w:p>
        </w:tc>
      </w:tr>
      <w:tr w:rsidR="00FF01A8" w:rsidRPr="004F5F2B" w:rsidTr="00C4514D">
        <w:trPr>
          <w:trHeight w:val="900"/>
        </w:trPr>
        <w:tc>
          <w:tcPr>
            <w:tcW w:w="1500" w:type="dxa"/>
            <w:tcBorders>
              <w:top w:val="nil"/>
              <w:left w:val="nil"/>
              <w:bottom w:val="nil"/>
              <w:right w:val="nil"/>
            </w:tcBorders>
            <w:shd w:val="clear" w:color="auto" w:fill="auto"/>
            <w:noWrap/>
            <w:vAlign w:val="bottom"/>
          </w:tcPr>
          <w:p w:rsidR="00FF01A8" w:rsidRPr="004F5F2B" w:rsidRDefault="00FF01A8" w:rsidP="00FF01A8">
            <w:pPr>
              <w:rPr>
                <w:rFonts w:ascii="Verdana" w:hAnsi="Verdana"/>
                <w:color w:val="000000"/>
              </w:rPr>
            </w:pPr>
          </w:p>
        </w:tc>
        <w:tc>
          <w:tcPr>
            <w:tcW w:w="1200" w:type="dxa"/>
            <w:vMerge/>
            <w:tcBorders>
              <w:top w:val="single" w:sz="8" w:space="0" w:color="auto"/>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vMerge w:val="restart"/>
            <w:tcBorders>
              <w:top w:val="nil"/>
              <w:left w:val="single" w:sz="8" w:space="0" w:color="auto"/>
              <w:bottom w:val="single" w:sz="8" w:space="0" w:color="000000"/>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 </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 </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 </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 </w:t>
            </w:r>
          </w:p>
        </w:tc>
        <w:tc>
          <w:tcPr>
            <w:tcW w:w="1200" w:type="dxa"/>
            <w:gridSpan w:val="2"/>
            <w:tcBorders>
              <w:top w:val="nil"/>
              <w:left w:val="nil"/>
              <w:bottom w:val="nil"/>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National Public funding</w:t>
            </w:r>
          </w:p>
        </w:tc>
        <w:tc>
          <w:tcPr>
            <w:tcW w:w="1200" w:type="dxa"/>
            <w:tcBorders>
              <w:top w:val="nil"/>
              <w:left w:val="nil"/>
              <w:bottom w:val="nil"/>
              <w:right w:val="single" w:sz="8" w:space="0" w:color="auto"/>
            </w:tcBorders>
            <w:shd w:val="clear" w:color="auto" w:fill="auto"/>
          </w:tcPr>
          <w:p w:rsidR="00FF01A8" w:rsidRPr="004F5F2B" w:rsidRDefault="00FA25C5" w:rsidP="003B7BFA">
            <w:pPr>
              <w:spacing w:before="120"/>
              <w:jc w:val="both"/>
              <w:rPr>
                <w:rFonts w:ascii="Verdana" w:hAnsi="Verdana"/>
                <w:color w:val="0000FF"/>
                <w:sz w:val="16"/>
                <w:szCs w:val="16"/>
                <w:u w:val="single"/>
              </w:rPr>
            </w:pPr>
            <w:hyperlink r:id="rId29" w:anchor="E0078#E0078" w:history="1">
              <w:r w:rsidR="00FF01A8" w:rsidRPr="004F5F2B">
                <w:rPr>
                  <w:rFonts w:ascii="Verdana" w:hAnsi="Verdana"/>
                  <w:color w:val="0000FF"/>
                  <w:sz w:val="16"/>
                  <w:szCs w:val="16"/>
                  <w:u w:val="single"/>
                </w:rPr>
                <w:t xml:space="preserve">National private funding (1) </w:t>
              </w:r>
            </w:hyperlink>
          </w:p>
        </w:tc>
        <w:tc>
          <w:tcPr>
            <w:tcW w:w="1200" w:type="dxa"/>
            <w:gridSpan w:val="2"/>
            <w:vMerge w:val="restart"/>
            <w:tcBorders>
              <w:top w:val="nil"/>
              <w:left w:val="single" w:sz="8" w:space="0" w:color="auto"/>
              <w:bottom w:val="single" w:sz="8" w:space="0" w:color="000000"/>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 </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 </w:t>
            </w:r>
          </w:p>
        </w:tc>
        <w:tc>
          <w:tcPr>
            <w:tcW w:w="1266" w:type="dxa"/>
            <w:gridSpan w:val="2"/>
            <w:vMerge w:val="restart"/>
            <w:tcBorders>
              <w:top w:val="nil"/>
              <w:left w:val="single" w:sz="8" w:space="0" w:color="auto"/>
              <w:bottom w:val="single" w:sz="8" w:space="0" w:color="000000"/>
              <w:right w:val="single" w:sz="8" w:space="0" w:color="auto"/>
            </w:tcBorders>
            <w:shd w:val="clear" w:color="auto" w:fill="auto"/>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 xml:space="preserve">EIB </w:t>
            </w:r>
            <w:r w:rsidR="004F5F2B" w:rsidRPr="004F5F2B">
              <w:rPr>
                <w:rFonts w:ascii="Verdana" w:hAnsi="Verdana"/>
                <w:color w:val="000000"/>
                <w:sz w:val="16"/>
                <w:szCs w:val="16"/>
              </w:rPr>
              <w:t>contributions</w:t>
            </w:r>
            <w:r w:rsidRPr="004F5F2B">
              <w:rPr>
                <w:rFonts w:ascii="Verdana" w:hAnsi="Verdana"/>
                <w:color w:val="000000"/>
                <w:sz w:val="16"/>
                <w:szCs w:val="16"/>
              </w:rPr>
              <w:t>/</w:t>
            </w:r>
            <w:r w:rsidR="004F5F2B">
              <w:rPr>
                <w:rFonts w:ascii="Verdana" w:hAnsi="Verdana"/>
                <w:color w:val="000000"/>
                <w:sz w:val="16"/>
                <w:szCs w:val="16"/>
              </w:rPr>
              <w:t xml:space="preserve"> </w:t>
            </w:r>
            <w:r w:rsidRPr="004F5F2B">
              <w:rPr>
                <w:rFonts w:ascii="Verdana" w:hAnsi="Verdana"/>
                <w:color w:val="000000"/>
                <w:sz w:val="16"/>
                <w:szCs w:val="16"/>
              </w:rPr>
              <w:t>Contributions from third countries/EDF</w:t>
            </w:r>
          </w:p>
        </w:tc>
      </w:tr>
      <w:tr w:rsidR="00FF01A8" w:rsidRPr="004F5F2B" w:rsidTr="00C4514D">
        <w:trPr>
          <w:trHeight w:val="315"/>
        </w:trPr>
        <w:tc>
          <w:tcPr>
            <w:tcW w:w="1500" w:type="dxa"/>
            <w:tcBorders>
              <w:top w:val="nil"/>
              <w:left w:val="nil"/>
              <w:bottom w:val="nil"/>
              <w:right w:val="nil"/>
            </w:tcBorders>
            <w:shd w:val="clear" w:color="auto" w:fill="auto"/>
            <w:noWrap/>
            <w:vAlign w:val="bottom"/>
          </w:tcPr>
          <w:p w:rsidR="00FF01A8" w:rsidRPr="004F5F2B" w:rsidRDefault="00FF01A8" w:rsidP="00FF01A8">
            <w:pPr>
              <w:rPr>
                <w:rFonts w:ascii="Verdana" w:hAnsi="Verdana"/>
                <w:color w:val="000000"/>
              </w:rPr>
            </w:pPr>
          </w:p>
        </w:tc>
        <w:tc>
          <w:tcPr>
            <w:tcW w:w="1200" w:type="dxa"/>
            <w:vMerge/>
            <w:tcBorders>
              <w:top w:val="single" w:sz="8" w:space="0" w:color="auto"/>
              <w:left w:val="single" w:sz="8" w:space="0" w:color="auto"/>
              <w:bottom w:val="single" w:sz="8" w:space="0" w:color="000000"/>
              <w:right w:val="single" w:sz="8" w:space="0" w:color="auto"/>
            </w:tcBorders>
            <w:vAlign w:val="center"/>
          </w:tcPr>
          <w:p w:rsidR="00FF01A8" w:rsidRPr="004F5F2B" w:rsidRDefault="00FF01A8" w:rsidP="00FF01A8">
            <w:pPr>
              <w:rPr>
                <w:rFonts w:ascii="Verdana" w:hAnsi="Verdana"/>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tcPr>
          <w:p w:rsidR="00FF01A8" w:rsidRPr="004F5F2B" w:rsidRDefault="00FF01A8" w:rsidP="00FF01A8">
            <w:pPr>
              <w:rPr>
                <w:rFonts w:ascii="Verdana" w:hAnsi="Verdana"/>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FF01A8">
            <w:pPr>
              <w:rPr>
                <w:rFonts w:ascii="Verdana" w:hAnsi="Verdana"/>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FF01A8">
            <w:pPr>
              <w:rPr>
                <w:rFonts w:ascii="Verdana" w:hAnsi="Verdana"/>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FF01A8">
            <w:pPr>
              <w:rPr>
                <w:rFonts w:ascii="Verdana" w:hAnsi="Verdana"/>
                <w:color w:val="000000"/>
                <w:sz w:val="16"/>
                <w:szCs w:val="16"/>
              </w:rPr>
            </w:pPr>
          </w:p>
        </w:tc>
        <w:tc>
          <w:tcPr>
            <w:tcW w:w="1200" w:type="dxa"/>
            <w:gridSpan w:val="2"/>
            <w:tcBorders>
              <w:top w:val="nil"/>
              <w:left w:val="nil"/>
              <w:bottom w:val="single" w:sz="8" w:space="0" w:color="auto"/>
              <w:right w:val="single" w:sz="8" w:space="0" w:color="auto"/>
            </w:tcBorders>
            <w:shd w:val="clear" w:color="auto" w:fill="auto"/>
          </w:tcPr>
          <w:p w:rsidR="00FF01A8" w:rsidRPr="004F5F2B" w:rsidRDefault="00FF01A8" w:rsidP="00FF01A8">
            <w:pPr>
              <w:jc w:val="both"/>
              <w:rPr>
                <w:rFonts w:ascii="Verdana" w:hAnsi="Verdana"/>
                <w:color w:val="000000"/>
                <w:sz w:val="16"/>
                <w:szCs w:val="16"/>
              </w:rPr>
            </w:pPr>
            <w:r w:rsidRPr="004F5F2B">
              <w:rPr>
                <w:rFonts w:ascii="Verdana" w:hAnsi="Verdana"/>
                <w:color w:val="000000"/>
                <w:sz w:val="16"/>
                <w:szCs w:val="16"/>
              </w:rPr>
              <w:t>(c)</w:t>
            </w:r>
          </w:p>
        </w:tc>
        <w:tc>
          <w:tcPr>
            <w:tcW w:w="1200" w:type="dxa"/>
            <w:tcBorders>
              <w:top w:val="nil"/>
              <w:left w:val="nil"/>
              <w:bottom w:val="single" w:sz="8" w:space="0" w:color="auto"/>
              <w:right w:val="single" w:sz="8" w:space="0" w:color="auto"/>
            </w:tcBorders>
            <w:shd w:val="clear" w:color="auto" w:fill="auto"/>
          </w:tcPr>
          <w:p w:rsidR="00FF01A8" w:rsidRPr="004F5F2B" w:rsidRDefault="00FF01A8" w:rsidP="00FF01A8">
            <w:pPr>
              <w:jc w:val="both"/>
              <w:rPr>
                <w:rFonts w:ascii="Verdana" w:hAnsi="Verdana"/>
                <w:color w:val="000000"/>
                <w:sz w:val="16"/>
                <w:szCs w:val="16"/>
              </w:rPr>
            </w:pPr>
            <w:r w:rsidRPr="004F5F2B">
              <w:rPr>
                <w:rFonts w:ascii="Verdana" w:hAnsi="Verdana"/>
                <w:color w:val="000000"/>
                <w:sz w:val="16"/>
                <w:szCs w:val="16"/>
              </w:rPr>
              <w:t>(d)</w:t>
            </w: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FF01A8">
            <w:pPr>
              <w:rPr>
                <w:rFonts w:ascii="Verdana" w:hAnsi="Verdana"/>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FF01A8">
            <w:pPr>
              <w:rPr>
                <w:rFonts w:ascii="Verdana" w:hAnsi="Verdana"/>
                <w:color w:val="000000"/>
                <w:sz w:val="16"/>
                <w:szCs w:val="16"/>
              </w:rPr>
            </w:pPr>
          </w:p>
        </w:tc>
        <w:tc>
          <w:tcPr>
            <w:tcW w:w="1266"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FF01A8">
            <w:pPr>
              <w:rPr>
                <w:rFonts w:ascii="Verdana" w:hAnsi="Verdana"/>
                <w:color w:val="000000"/>
                <w:sz w:val="16"/>
                <w:szCs w:val="16"/>
              </w:rPr>
            </w:pPr>
          </w:p>
        </w:tc>
      </w:tr>
      <w:tr w:rsidR="00FF01A8" w:rsidRPr="004F5F2B" w:rsidTr="00C4514D">
        <w:trPr>
          <w:trHeight w:val="810"/>
        </w:trPr>
        <w:tc>
          <w:tcPr>
            <w:tcW w:w="15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color w:val="000000"/>
                <w:sz w:val="16"/>
                <w:szCs w:val="16"/>
              </w:rPr>
            </w:pPr>
            <w:r w:rsidRPr="004F5F2B">
              <w:rPr>
                <w:rFonts w:ascii="Verdana" w:hAnsi="Verdana"/>
                <w:color w:val="000000"/>
                <w:sz w:val="16"/>
                <w:szCs w:val="16"/>
              </w:rPr>
              <w:t> </w:t>
            </w:r>
          </w:p>
        </w:tc>
        <w:tc>
          <w:tcPr>
            <w:tcW w:w="1200" w:type="dxa"/>
            <w:vMerge w:val="restart"/>
            <w:tcBorders>
              <w:top w:val="nil"/>
              <w:left w:val="single" w:sz="8" w:space="0" w:color="auto"/>
              <w:bottom w:val="single" w:sz="8" w:space="0" w:color="000000"/>
              <w:right w:val="single" w:sz="8" w:space="0" w:color="auto"/>
            </w:tcBorders>
            <w:shd w:val="clear" w:color="auto" w:fill="auto"/>
          </w:tcPr>
          <w:p w:rsidR="00FF01A8" w:rsidRPr="004F5F2B" w:rsidRDefault="00FF01A8" w:rsidP="003B7BFA">
            <w:pPr>
              <w:spacing w:before="120"/>
              <w:jc w:val="both"/>
              <w:rPr>
                <w:rFonts w:ascii="Verdana" w:hAnsi="Verdana"/>
                <w:i/>
                <w:iCs/>
                <w:color w:val="000000"/>
                <w:sz w:val="16"/>
                <w:szCs w:val="16"/>
              </w:rPr>
            </w:pPr>
            <w:r w:rsidRPr="004F5F2B">
              <w:rPr>
                <w:rFonts w:ascii="Verdana" w:hAnsi="Verdana"/>
                <w:i/>
                <w:iCs/>
                <w:color w:val="000000"/>
                <w:sz w:val="16"/>
                <w:szCs w:val="16"/>
              </w:rPr>
              <w:t>Priority axis 1</w:t>
            </w:r>
            <w:r w:rsidRPr="004F5F2B">
              <w:rPr>
                <w:rFonts w:ascii="Verdana" w:hAnsi="Verdana"/>
                <w:color w:val="000000"/>
                <w:sz w:val="16"/>
                <w:szCs w:val="16"/>
              </w:rPr>
              <w:t xml:space="preserve"> </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color w:val="000000"/>
                <w:sz w:val="16"/>
                <w:szCs w:val="16"/>
              </w:rPr>
            </w:pPr>
            <w:r w:rsidRPr="004F5F2B">
              <w:rPr>
                <w:rFonts w:ascii="Verdana" w:hAnsi="Verdana"/>
                <w:color w:val="000000"/>
                <w:sz w:val="16"/>
                <w:szCs w:val="16"/>
              </w:rPr>
              <w:t>ERDF (incl. amounts transferred from IPA  and ENI)</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color w:val="000000"/>
                <w:sz w:val="16"/>
                <w:szCs w:val="16"/>
              </w:rPr>
            </w:pPr>
            <w:r w:rsidRPr="004F5F2B">
              <w:rPr>
                <w:rFonts w:ascii="Verdana" w:hAnsi="Verdana"/>
                <w:color w:val="000000"/>
                <w:sz w:val="16"/>
                <w:szCs w:val="16"/>
              </w:rPr>
              <w:t> </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color w:val="000000"/>
                <w:sz w:val="16"/>
                <w:szCs w:val="16"/>
              </w:rPr>
            </w:pPr>
            <w:r w:rsidRPr="004F5F2B">
              <w:rPr>
                <w:rFonts w:ascii="Verdana" w:hAnsi="Verdana"/>
                <w:color w:val="000000"/>
                <w:sz w:val="16"/>
                <w:szCs w:val="16"/>
              </w:rPr>
              <w:t>69</w:t>
            </w:r>
            <w:r w:rsidR="003B7BFA">
              <w:rPr>
                <w:rFonts w:ascii="Verdana" w:hAnsi="Verdana"/>
                <w:color w:val="000000"/>
                <w:sz w:val="16"/>
                <w:szCs w:val="16"/>
              </w:rPr>
              <w:t> </w:t>
            </w:r>
            <w:r w:rsidRPr="004F5F2B">
              <w:rPr>
                <w:rFonts w:ascii="Verdana" w:hAnsi="Verdana"/>
                <w:color w:val="000000"/>
                <w:sz w:val="16"/>
                <w:szCs w:val="16"/>
              </w:rPr>
              <w:t>843</w:t>
            </w:r>
            <w:r w:rsidR="003B7BFA">
              <w:rPr>
                <w:rFonts w:ascii="Verdana" w:hAnsi="Verdana"/>
                <w:color w:val="000000"/>
                <w:sz w:val="16"/>
                <w:szCs w:val="16"/>
              </w:rPr>
              <w:t xml:space="preserve"> </w:t>
            </w:r>
            <w:r w:rsidRPr="004F5F2B">
              <w:rPr>
                <w:rFonts w:ascii="Verdana" w:hAnsi="Verdana"/>
                <w:color w:val="000000"/>
                <w:sz w:val="16"/>
                <w:szCs w:val="16"/>
              </w:rPr>
              <w:t>880</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color w:val="000000"/>
                <w:sz w:val="16"/>
                <w:szCs w:val="16"/>
              </w:rPr>
            </w:pPr>
            <w:r w:rsidRPr="004F5F2B">
              <w:rPr>
                <w:rFonts w:ascii="Verdana" w:hAnsi="Verdana"/>
                <w:color w:val="000000"/>
                <w:sz w:val="16"/>
                <w:szCs w:val="16"/>
              </w:rPr>
              <w:t>18</w:t>
            </w:r>
            <w:r w:rsidR="003B7BFA">
              <w:rPr>
                <w:rFonts w:ascii="Verdana" w:hAnsi="Verdana"/>
                <w:color w:val="000000"/>
                <w:sz w:val="16"/>
                <w:szCs w:val="16"/>
              </w:rPr>
              <w:t xml:space="preserve"> </w:t>
            </w:r>
            <w:r w:rsidRPr="004F5F2B">
              <w:rPr>
                <w:rFonts w:ascii="Verdana" w:hAnsi="Verdana"/>
                <w:color w:val="000000"/>
                <w:sz w:val="16"/>
                <w:szCs w:val="16"/>
              </w:rPr>
              <w:t>375</w:t>
            </w:r>
            <w:r w:rsidR="003B7BFA">
              <w:rPr>
                <w:rFonts w:ascii="Verdana" w:hAnsi="Verdana"/>
                <w:color w:val="000000"/>
                <w:sz w:val="16"/>
                <w:szCs w:val="16"/>
              </w:rPr>
              <w:t xml:space="preserve"> </w:t>
            </w:r>
            <w:r w:rsidRPr="004F5F2B">
              <w:rPr>
                <w:rFonts w:ascii="Verdana" w:hAnsi="Verdana"/>
                <w:color w:val="000000"/>
                <w:sz w:val="16"/>
                <w:szCs w:val="16"/>
              </w:rPr>
              <w:t>002</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color w:val="000000"/>
                <w:sz w:val="16"/>
                <w:szCs w:val="16"/>
              </w:rPr>
            </w:pPr>
            <w:r w:rsidRPr="004F5F2B">
              <w:rPr>
                <w:rFonts w:ascii="Verdana" w:hAnsi="Verdana"/>
                <w:color w:val="000000"/>
                <w:sz w:val="16"/>
                <w:szCs w:val="16"/>
              </w:rPr>
              <w:t>18</w:t>
            </w:r>
            <w:r w:rsidR="003B7BFA">
              <w:rPr>
                <w:rFonts w:ascii="Verdana" w:hAnsi="Verdana"/>
                <w:color w:val="000000"/>
                <w:sz w:val="16"/>
                <w:szCs w:val="16"/>
              </w:rPr>
              <w:t> </w:t>
            </w:r>
            <w:r w:rsidRPr="004F5F2B">
              <w:rPr>
                <w:rFonts w:ascii="Verdana" w:hAnsi="Verdana"/>
                <w:color w:val="000000"/>
                <w:sz w:val="16"/>
                <w:szCs w:val="16"/>
              </w:rPr>
              <w:t>375</w:t>
            </w:r>
            <w:r w:rsidR="003B7BFA">
              <w:rPr>
                <w:rFonts w:ascii="Verdana" w:hAnsi="Verdana"/>
                <w:color w:val="000000"/>
                <w:sz w:val="16"/>
                <w:szCs w:val="16"/>
              </w:rPr>
              <w:t xml:space="preserve"> </w:t>
            </w:r>
            <w:r w:rsidRPr="004F5F2B">
              <w:rPr>
                <w:rFonts w:ascii="Verdana" w:hAnsi="Verdana"/>
                <w:color w:val="000000"/>
                <w:sz w:val="16"/>
                <w:szCs w:val="16"/>
              </w:rPr>
              <w:t>002</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color w:val="000000"/>
                <w:sz w:val="16"/>
                <w:szCs w:val="16"/>
              </w:rPr>
            </w:pPr>
            <w:r w:rsidRPr="004F5F2B">
              <w:rPr>
                <w:rFonts w:ascii="Verdana" w:hAnsi="Verdana"/>
                <w:color w:val="000000"/>
                <w:sz w:val="16"/>
                <w:szCs w:val="16"/>
              </w:rPr>
              <w:t>0</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color w:val="000000"/>
                <w:sz w:val="16"/>
                <w:szCs w:val="16"/>
              </w:rPr>
            </w:pPr>
            <w:r w:rsidRPr="004F5F2B">
              <w:rPr>
                <w:rFonts w:ascii="Verdana" w:hAnsi="Verdana"/>
                <w:color w:val="000000"/>
                <w:sz w:val="16"/>
                <w:szCs w:val="16"/>
              </w:rPr>
              <w:t>88</w:t>
            </w:r>
            <w:r w:rsidR="003B7BFA">
              <w:rPr>
                <w:rFonts w:ascii="Verdana" w:hAnsi="Verdana"/>
                <w:color w:val="000000"/>
                <w:sz w:val="16"/>
                <w:szCs w:val="16"/>
              </w:rPr>
              <w:t xml:space="preserve"> </w:t>
            </w:r>
            <w:r w:rsidRPr="004F5F2B">
              <w:rPr>
                <w:rFonts w:ascii="Verdana" w:hAnsi="Verdana"/>
                <w:color w:val="000000"/>
                <w:sz w:val="16"/>
                <w:szCs w:val="16"/>
              </w:rPr>
              <w:t>218</w:t>
            </w:r>
            <w:r w:rsidR="003B7BFA">
              <w:rPr>
                <w:rFonts w:ascii="Verdana" w:hAnsi="Verdana"/>
                <w:color w:val="000000"/>
                <w:sz w:val="16"/>
                <w:szCs w:val="16"/>
              </w:rPr>
              <w:t xml:space="preserve"> </w:t>
            </w:r>
            <w:r w:rsidRPr="004F5F2B">
              <w:rPr>
                <w:rFonts w:ascii="Verdana" w:hAnsi="Verdana"/>
                <w:color w:val="000000"/>
                <w:sz w:val="16"/>
                <w:szCs w:val="16"/>
              </w:rPr>
              <w:t>882</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color w:val="000000"/>
                <w:sz w:val="16"/>
                <w:szCs w:val="16"/>
              </w:rPr>
            </w:pPr>
            <w:r w:rsidRPr="004F5F2B">
              <w:rPr>
                <w:rFonts w:ascii="Verdana" w:hAnsi="Verdana"/>
                <w:color w:val="000000"/>
                <w:sz w:val="16"/>
                <w:szCs w:val="16"/>
              </w:rPr>
              <w:t>79,17%</w:t>
            </w:r>
          </w:p>
        </w:tc>
        <w:tc>
          <w:tcPr>
            <w:tcW w:w="1266"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 </w:t>
            </w:r>
          </w:p>
        </w:tc>
      </w:tr>
      <w:tr w:rsidR="00FF01A8" w:rsidRPr="004F5F2B" w:rsidTr="00C4514D">
        <w:trPr>
          <w:trHeight w:val="315"/>
        </w:trPr>
        <w:tc>
          <w:tcPr>
            <w:tcW w:w="1500" w:type="dxa"/>
            <w:vMerge/>
            <w:tcBorders>
              <w:top w:val="single" w:sz="8" w:space="0" w:color="auto"/>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i/>
                <w:iCs/>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66"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r>
      <w:tr w:rsidR="00FF01A8" w:rsidRPr="004F5F2B" w:rsidTr="00C4514D">
        <w:trPr>
          <w:trHeight w:val="810"/>
        </w:trPr>
        <w:tc>
          <w:tcPr>
            <w:tcW w:w="1500" w:type="dxa"/>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color w:val="000000"/>
                <w:sz w:val="16"/>
                <w:szCs w:val="16"/>
              </w:rPr>
            </w:pPr>
            <w:r w:rsidRPr="004F5F2B">
              <w:rPr>
                <w:rFonts w:ascii="Verdana" w:hAnsi="Verdana"/>
                <w:color w:val="000000"/>
                <w:sz w:val="16"/>
                <w:szCs w:val="16"/>
              </w:rPr>
              <w:t> </w:t>
            </w:r>
          </w:p>
        </w:tc>
        <w:tc>
          <w:tcPr>
            <w:tcW w:w="1200" w:type="dxa"/>
            <w:vMerge w:val="restart"/>
            <w:tcBorders>
              <w:top w:val="nil"/>
              <w:left w:val="single" w:sz="8" w:space="0" w:color="auto"/>
              <w:bottom w:val="single" w:sz="8" w:space="0" w:color="000000"/>
              <w:right w:val="single" w:sz="8" w:space="0" w:color="auto"/>
            </w:tcBorders>
            <w:shd w:val="clear" w:color="auto" w:fill="auto"/>
          </w:tcPr>
          <w:p w:rsidR="00FF01A8" w:rsidRPr="004F5F2B" w:rsidRDefault="00FF01A8" w:rsidP="003B7BFA">
            <w:pPr>
              <w:spacing w:before="120"/>
              <w:jc w:val="both"/>
              <w:rPr>
                <w:rFonts w:ascii="Verdana" w:hAnsi="Verdana"/>
                <w:i/>
                <w:iCs/>
                <w:color w:val="000000"/>
                <w:sz w:val="16"/>
                <w:szCs w:val="16"/>
              </w:rPr>
            </w:pPr>
            <w:r w:rsidRPr="004F5F2B">
              <w:rPr>
                <w:rFonts w:ascii="Verdana" w:hAnsi="Verdana"/>
                <w:i/>
                <w:iCs/>
                <w:color w:val="000000"/>
                <w:sz w:val="16"/>
                <w:szCs w:val="16"/>
              </w:rPr>
              <w:t>Priority axis 2</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color w:val="000000"/>
                <w:sz w:val="16"/>
                <w:szCs w:val="16"/>
              </w:rPr>
            </w:pPr>
            <w:r w:rsidRPr="004F5F2B">
              <w:rPr>
                <w:rFonts w:ascii="Verdana" w:hAnsi="Verdana"/>
                <w:color w:val="000000"/>
                <w:sz w:val="16"/>
                <w:szCs w:val="16"/>
              </w:rPr>
              <w:t>ERDF (incl. amounts transferred from IPA  and ENI)</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color w:val="000000"/>
                <w:sz w:val="16"/>
                <w:szCs w:val="16"/>
              </w:rPr>
            </w:pPr>
            <w:r w:rsidRPr="004F5F2B">
              <w:rPr>
                <w:rFonts w:ascii="Verdana" w:hAnsi="Verdana"/>
                <w:color w:val="000000"/>
                <w:sz w:val="16"/>
                <w:szCs w:val="16"/>
              </w:rPr>
              <w:t> </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color w:val="000000"/>
                <w:sz w:val="16"/>
                <w:szCs w:val="16"/>
              </w:rPr>
            </w:pPr>
            <w:r w:rsidRPr="004F5F2B">
              <w:rPr>
                <w:rFonts w:ascii="Verdana" w:hAnsi="Verdana"/>
                <w:color w:val="000000"/>
                <w:sz w:val="16"/>
                <w:szCs w:val="16"/>
              </w:rPr>
              <w:t>4</w:t>
            </w:r>
            <w:r w:rsidR="003B7BFA">
              <w:rPr>
                <w:rFonts w:ascii="Verdana" w:hAnsi="Verdana"/>
                <w:color w:val="000000"/>
                <w:sz w:val="16"/>
                <w:szCs w:val="16"/>
              </w:rPr>
              <w:t xml:space="preserve"> </w:t>
            </w:r>
            <w:r w:rsidRPr="004F5F2B">
              <w:rPr>
                <w:rFonts w:ascii="Verdana" w:hAnsi="Verdana"/>
                <w:color w:val="000000"/>
                <w:sz w:val="16"/>
                <w:szCs w:val="16"/>
              </w:rPr>
              <w:t>458</w:t>
            </w:r>
            <w:r w:rsidR="003B7BFA">
              <w:rPr>
                <w:rFonts w:ascii="Verdana" w:hAnsi="Verdana"/>
                <w:color w:val="000000"/>
                <w:sz w:val="16"/>
                <w:szCs w:val="16"/>
              </w:rPr>
              <w:t xml:space="preserve"> </w:t>
            </w:r>
            <w:r w:rsidRPr="004F5F2B">
              <w:rPr>
                <w:rFonts w:ascii="Verdana" w:hAnsi="Verdana"/>
                <w:color w:val="000000"/>
                <w:sz w:val="16"/>
                <w:szCs w:val="16"/>
              </w:rPr>
              <w:t>120</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color w:val="000000"/>
                <w:sz w:val="16"/>
                <w:szCs w:val="16"/>
              </w:rPr>
            </w:pPr>
            <w:r w:rsidRPr="004F5F2B">
              <w:rPr>
                <w:rFonts w:ascii="Verdana" w:hAnsi="Verdana"/>
                <w:color w:val="000000"/>
                <w:sz w:val="16"/>
                <w:szCs w:val="16"/>
              </w:rPr>
              <w:t>3</w:t>
            </w:r>
            <w:r w:rsidR="003B7BFA">
              <w:rPr>
                <w:rFonts w:ascii="Verdana" w:hAnsi="Verdana"/>
                <w:color w:val="000000"/>
                <w:sz w:val="16"/>
                <w:szCs w:val="16"/>
              </w:rPr>
              <w:t xml:space="preserve"> </w:t>
            </w:r>
            <w:r w:rsidRPr="004F5F2B">
              <w:rPr>
                <w:rFonts w:ascii="Verdana" w:hAnsi="Verdana"/>
                <w:color w:val="000000"/>
                <w:sz w:val="16"/>
                <w:szCs w:val="16"/>
              </w:rPr>
              <w:t>647</w:t>
            </w:r>
            <w:r w:rsidR="003B7BFA">
              <w:rPr>
                <w:rFonts w:ascii="Verdana" w:hAnsi="Verdana"/>
                <w:color w:val="000000"/>
                <w:sz w:val="16"/>
                <w:szCs w:val="16"/>
              </w:rPr>
              <w:t xml:space="preserve"> </w:t>
            </w:r>
            <w:r w:rsidRPr="004F5F2B">
              <w:rPr>
                <w:rFonts w:ascii="Verdana" w:hAnsi="Verdana"/>
                <w:color w:val="000000"/>
                <w:sz w:val="16"/>
                <w:szCs w:val="16"/>
              </w:rPr>
              <w:t>553</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color w:val="000000"/>
                <w:sz w:val="16"/>
                <w:szCs w:val="16"/>
              </w:rPr>
            </w:pPr>
            <w:r w:rsidRPr="004F5F2B">
              <w:rPr>
                <w:rFonts w:ascii="Verdana" w:hAnsi="Verdana"/>
                <w:color w:val="000000"/>
                <w:sz w:val="16"/>
                <w:szCs w:val="16"/>
              </w:rPr>
              <w:t>3</w:t>
            </w:r>
            <w:r w:rsidR="003B7BFA">
              <w:rPr>
                <w:rFonts w:ascii="Verdana" w:hAnsi="Verdana"/>
                <w:color w:val="000000"/>
                <w:sz w:val="16"/>
                <w:szCs w:val="16"/>
              </w:rPr>
              <w:t xml:space="preserve"> </w:t>
            </w:r>
            <w:r w:rsidRPr="004F5F2B">
              <w:rPr>
                <w:rFonts w:ascii="Verdana" w:hAnsi="Verdana"/>
                <w:color w:val="000000"/>
                <w:sz w:val="16"/>
                <w:szCs w:val="16"/>
              </w:rPr>
              <w:t>647</w:t>
            </w:r>
            <w:r w:rsidR="003B7BFA">
              <w:rPr>
                <w:rFonts w:ascii="Verdana" w:hAnsi="Verdana"/>
                <w:color w:val="000000"/>
                <w:sz w:val="16"/>
                <w:szCs w:val="16"/>
              </w:rPr>
              <w:t xml:space="preserve"> </w:t>
            </w:r>
            <w:r w:rsidRPr="004F5F2B">
              <w:rPr>
                <w:rFonts w:ascii="Verdana" w:hAnsi="Verdana"/>
                <w:color w:val="000000"/>
                <w:sz w:val="16"/>
                <w:szCs w:val="16"/>
              </w:rPr>
              <w:t>553</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color w:val="000000"/>
                <w:sz w:val="16"/>
                <w:szCs w:val="16"/>
              </w:rPr>
            </w:pPr>
            <w:r w:rsidRPr="004F5F2B">
              <w:rPr>
                <w:rFonts w:ascii="Verdana" w:hAnsi="Verdana"/>
                <w:color w:val="000000"/>
                <w:sz w:val="16"/>
                <w:szCs w:val="16"/>
              </w:rPr>
              <w:t>0</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color w:val="000000"/>
                <w:sz w:val="16"/>
                <w:szCs w:val="16"/>
              </w:rPr>
            </w:pPr>
            <w:r w:rsidRPr="004F5F2B">
              <w:rPr>
                <w:rFonts w:ascii="Verdana" w:hAnsi="Verdana"/>
                <w:color w:val="000000"/>
                <w:sz w:val="16"/>
                <w:szCs w:val="16"/>
              </w:rPr>
              <w:t>8</w:t>
            </w:r>
            <w:r w:rsidR="003B7BFA">
              <w:rPr>
                <w:rFonts w:ascii="Verdana" w:hAnsi="Verdana"/>
                <w:color w:val="000000"/>
                <w:sz w:val="16"/>
                <w:szCs w:val="16"/>
              </w:rPr>
              <w:t xml:space="preserve"> </w:t>
            </w:r>
            <w:r w:rsidRPr="004F5F2B">
              <w:rPr>
                <w:rFonts w:ascii="Verdana" w:hAnsi="Verdana"/>
                <w:color w:val="000000"/>
                <w:sz w:val="16"/>
                <w:szCs w:val="16"/>
              </w:rPr>
              <w:t>105</w:t>
            </w:r>
            <w:r w:rsidR="003B7BFA">
              <w:rPr>
                <w:rFonts w:ascii="Verdana" w:hAnsi="Verdana"/>
                <w:color w:val="000000"/>
                <w:sz w:val="16"/>
                <w:szCs w:val="16"/>
              </w:rPr>
              <w:t xml:space="preserve"> </w:t>
            </w:r>
            <w:r w:rsidRPr="004F5F2B">
              <w:rPr>
                <w:rFonts w:ascii="Verdana" w:hAnsi="Verdana"/>
                <w:color w:val="000000"/>
                <w:sz w:val="16"/>
                <w:szCs w:val="16"/>
              </w:rPr>
              <w:t>673</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color w:val="000000"/>
                <w:sz w:val="16"/>
                <w:szCs w:val="16"/>
              </w:rPr>
            </w:pPr>
            <w:r w:rsidRPr="004F5F2B">
              <w:rPr>
                <w:rFonts w:ascii="Verdana" w:hAnsi="Verdana"/>
                <w:color w:val="000000"/>
                <w:sz w:val="16"/>
                <w:szCs w:val="16"/>
              </w:rPr>
              <w:t>55,00%</w:t>
            </w:r>
          </w:p>
        </w:tc>
        <w:tc>
          <w:tcPr>
            <w:tcW w:w="1266"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both"/>
              <w:rPr>
                <w:rFonts w:ascii="Verdana" w:hAnsi="Verdana"/>
                <w:color w:val="000000"/>
                <w:sz w:val="16"/>
                <w:szCs w:val="16"/>
              </w:rPr>
            </w:pPr>
            <w:r w:rsidRPr="004F5F2B">
              <w:rPr>
                <w:rFonts w:ascii="Verdana" w:hAnsi="Verdana"/>
                <w:color w:val="000000"/>
                <w:sz w:val="16"/>
                <w:szCs w:val="16"/>
              </w:rPr>
              <w:t> </w:t>
            </w:r>
          </w:p>
        </w:tc>
      </w:tr>
      <w:tr w:rsidR="00FF01A8" w:rsidRPr="004F5F2B" w:rsidTr="00C4514D">
        <w:trPr>
          <w:trHeight w:val="315"/>
        </w:trPr>
        <w:tc>
          <w:tcPr>
            <w:tcW w:w="1500" w:type="dxa"/>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i/>
                <w:iCs/>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c>
          <w:tcPr>
            <w:tcW w:w="1266"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3B7BFA">
            <w:pPr>
              <w:spacing w:before="120"/>
              <w:rPr>
                <w:rFonts w:ascii="Verdana" w:hAnsi="Verdana"/>
                <w:color w:val="000000"/>
                <w:sz w:val="16"/>
                <w:szCs w:val="16"/>
              </w:rPr>
            </w:pPr>
          </w:p>
        </w:tc>
      </w:tr>
      <w:tr w:rsidR="00FF01A8" w:rsidRPr="004F5F2B" w:rsidTr="00C4514D">
        <w:trPr>
          <w:trHeight w:val="810"/>
        </w:trPr>
        <w:tc>
          <w:tcPr>
            <w:tcW w:w="1500" w:type="dxa"/>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b/>
                <w:bCs/>
                <w:color w:val="000000"/>
                <w:sz w:val="16"/>
                <w:szCs w:val="16"/>
              </w:rPr>
            </w:pPr>
            <w:r w:rsidRPr="004F5F2B">
              <w:rPr>
                <w:rFonts w:ascii="Verdana" w:hAnsi="Verdana"/>
                <w:b/>
                <w:bCs/>
                <w:color w:val="000000"/>
                <w:sz w:val="16"/>
                <w:szCs w:val="16"/>
              </w:rPr>
              <w:t> </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b/>
                <w:bCs/>
                <w:color w:val="000000"/>
                <w:sz w:val="16"/>
                <w:szCs w:val="16"/>
              </w:rPr>
            </w:pPr>
            <w:r w:rsidRPr="004F5F2B">
              <w:rPr>
                <w:rFonts w:ascii="Verdana" w:hAnsi="Verdana"/>
                <w:b/>
                <w:bCs/>
                <w:color w:val="000000"/>
                <w:sz w:val="16"/>
                <w:szCs w:val="16"/>
              </w:rPr>
              <w:t>TOTAL</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b/>
                <w:bCs/>
                <w:color w:val="000000"/>
                <w:sz w:val="16"/>
                <w:szCs w:val="16"/>
              </w:rPr>
            </w:pPr>
            <w:r w:rsidRPr="004F5F2B">
              <w:rPr>
                <w:rFonts w:ascii="Verdana" w:hAnsi="Verdana"/>
                <w:b/>
                <w:bCs/>
                <w:color w:val="000000"/>
                <w:sz w:val="16"/>
                <w:szCs w:val="16"/>
              </w:rPr>
              <w:t>ERDF (incl. amounts transferred from IPA  and ENI)</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b/>
                <w:bCs/>
                <w:color w:val="000000"/>
                <w:sz w:val="16"/>
                <w:szCs w:val="16"/>
              </w:rPr>
            </w:pPr>
            <w:r w:rsidRPr="004F5F2B">
              <w:rPr>
                <w:rFonts w:ascii="Verdana" w:hAnsi="Verdana"/>
                <w:b/>
                <w:bCs/>
                <w:color w:val="000000"/>
                <w:sz w:val="16"/>
                <w:szCs w:val="16"/>
              </w:rPr>
              <w:t> </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b/>
                <w:bCs/>
                <w:color w:val="000000"/>
                <w:sz w:val="16"/>
                <w:szCs w:val="16"/>
              </w:rPr>
            </w:pPr>
            <w:r w:rsidRPr="004F5F2B">
              <w:rPr>
                <w:rFonts w:ascii="Verdana" w:hAnsi="Verdana"/>
                <w:b/>
                <w:bCs/>
                <w:color w:val="000000"/>
                <w:sz w:val="16"/>
                <w:szCs w:val="16"/>
              </w:rPr>
              <w:t>74</w:t>
            </w:r>
            <w:r w:rsidR="003B7BFA">
              <w:rPr>
                <w:rFonts w:ascii="Verdana" w:hAnsi="Verdana"/>
                <w:b/>
                <w:bCs/>
                <w:color w:val="000000"/>
                <w:sz w:val="16"/>
                <w:szCs w:val="16"/>
              </w:rPr>
              <w:t xml:space="preserve"> </w:t>
            </w:r>
            <w:r w:rsidRPr="004F5F2B">
              <w:rPr>
                <w:rFonts w:ascii="Verdana" w:hAnsi="Verdana"/>
                <w:b/>
                <w:bCs/>
                <w:color w:val="000000"/>
                <w:sz w:val="16"/>
                <w:szCs w:val="16"/>
              </w:rPr>
              <w:t>302</w:t>
            </w:r>
            <w:r w:rsidR="003B7BFA">
              <w:rPr>
                <w:rFonts w:ascii="Verdana" w:hAnsi="Verdana"/>
                <w:b/>
                <w:bCs/>
                <w:color w:val="000000"/>
                <w:sz w:val="16"/>
                <w:szCs w:val="16"/>
              </w:rPr>
              <w:t xml:space="preserve"> </w:t>
            </w:r>
            <w:r w:rsidRPr="004F5F2B">
              <w:rPr>
                <w:rFonts w:ascii="Verdana" w:hAnsi="Verdana"/>
                <w:b/>
                <w:bCs/>
                <w:color w:val="000000"/>
                <w:sz w:val="16"/>
                <w:szCs w:val="16"/>
              </w:rPr>
              <w:t>000</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b/>
                <w:bCs/>
                <w:color w:val="000000"/>
                <w:sz w:val="16"/>
                <w:szCs w:val="16"/>
              </w:rPr>
            </w:pPr>
            <w:r w:rsidRPr="004F5F2B">
              <w:rPr>
                <w:rFonts w:ascii="Verdana" w:hAnsi="Verdana"/>
                <w:b/>
                <w:bCs/>
                <w:color w:val="000000"/>
                <w:sz w:val="16"/>
                <w:szCs w:val="16"/>
              </w:rPr>
              <w:t>22</w:t>
            </w:r>
            <w:r w:rsidR="003B7BFA">
              <w:rPr>
                <w:rFonts w:ascii="Verdana" w:hAnsi="Verdana"/>
                <w:b/>
                <w:bCs/>
                <w:color w:val="000000"/>
                <w:sz w:val="16"/>
                <w:szCs w:val="16"/>
              </w:rPr>
              <w:t xml:space="preserve"> </w:t>
            </w:r>
            <w:r w:rsidRPr="004F5F2B">
              <w:rPr>
                <w:rFonts w:ascii="Verdana" w:hAnsi="Verdana"/>
                <w:b/>
                <w:bCs/>
                <w:color w:val="000000"/>
                <w:sz w:val="16"/>
                <w:szCs w:val="16"/>
              </w:rPr>
              <w:t>022</w:t>
            </w:r>
            <w:r w:rsidR="003B7BFA">
              <w:rPr>
                <w:rFonts w:ascii="Verdana" w:hAnsi="Verdana"/>
                <w:b/>
                <w:bCs/>
                <w:color w:val="000000"/>
                <w:sz w:val="16"/>
                <w:szCs w:val="16"/>
              </w:rPr>
              <w:t xml:space="preserve"> </w:t>
            </w:r>
            <w:r w:rsidRPr="004F5F2B">
              <w:rPr>
                <w:rFonts w:ascii="Verdana" w:hAnsi="Verdana"/>
                <w:b/>
                <w:bCs/>
                <w:color w:val="000000"/>
                <w:sz w:val="16"/>
                <w:szCs w:val="16"/>
              </w:rPr>
              <w:t>555</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b/>
                <w:bCs/>
                <w:color w:val="000000"/>
                <w:sz w:val="16"/>
                <w:szCs w:val="16"/>
              </w:rPr>
            </w:pPr>
            <w:r w:rsidRPr="004F5F2B">
              <w:rPr>
                <w:rFonts w:ascii="Verdana" w:hAnsi="Verdana"/>
                <w:b/>
                <w:bCs/>
                <w:color w:val="000000"/>
                <w:sz w:val="16"/>
                <w:szCs w:val="16"/>
              </w:rPr>
              <w:t>22</w:t>
            </w:r>
            <w:r w:rsidR="003B7BFA">
              <w:rPr>
                <w:rFonts w:ascii="Verdana" w:hAnsi="Verdana"/>
                <w:b/>
                <w:bCs/>
                <w:color w:val="000000"/>
                <w:sz w:val="16"/>
                <w:szCs w:val="16"/>
              </w:rPr>
              <w:t xml:space="preserve"> </w:t>
            </w:r>
            <w:r w:rsidRPr="004F5F2B">
              <w:rPr>
                <w:rFonts w:ascii="Verdana" w:hAnsi="Verdana"/>
                <w:b/>
                <w:bCs/>
                <w:color w:val="000000"/>
                <w:sz w:val="16"/>
                <w:szCs w:val="16"/>
              </w:rPr>
              <w:t>022</w:t>
            </w:r>
            <w:r w:rsidR="003B7BFA">
              <w:rPr>
                <w:rFonts w:ascii="Verdana" w:hAnsi="Verdana"/>
                <w:b/>
                <w:bCs/>
                <w:color w:val="000000"/>
                <w:sz w:val="16"/>
                <w:szCs w:val="16"/>
              </w:rPr>
              <w:t xml:space="preserve"> </w:t>
            </w:r>
            <w:r w:rsidRPr="004F5F2B">
              <w:rPr>
                <w:rFonts w:ascii="Verdana" w:hAnsi="Verdana"/>
                <w:b/>
                <w:bCs/>
                <w:color w:val="000000"/>
                <w:sz w:val="16"/>
                <w:szCs w:val="16"/>
              </w:rPr>
              <w:t>555</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b/>
                <w:bCs/>
                <w:color w:val="000000"/>
                <w:sz w:val="16"/>
                <w:szCs w:val="16"/>
              </w:rPr>
            </w:pPr>
            <w:r w:rsidRPr="004F5F2B">
              <w:rPr>
                <w:rFonts w:ascii="Verdana" w:hAnsi="Verdana"/>
                <w:b/>
                <w:bCs/>
                <w:color w:val="000000"/>
                <w:sz w:val="16"/>
                <w:szCs w:val="16"/>
              </w:rPr>
              <w:t>0</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b/>
                <w:bCs/>
                <w:color w:val="000000"/>
                <w:sz w:val="16"/>
                <w:szCs w:val="16"/>
              </w:rPr>
            </w:pPr>
            <w:r w:rsidRPr="004F5F2B">
              <w:rPr>
                <w:rFonts w:ascii="Verdana" w:hAnsi="Verdana"/>
                <w:b/>
                <w:bCs/>
                <w:color w:val="000000"/>
                <w:sz w:val="16"/>
                <w:szCs w:val="16"/>
              </w:rPr>
              <w:t>96</w:t>
            </w:r>
            <w:r w:rsidR="003B7BFA">
              <w:rPr>
                <w:rFonts w:ascii="Verdana" w:hAnsi="Verdana"/>
                <w:b/>
                <w:bCs/>
                <w:color w:val="000000"/>
                <w:sz w:val="16"/>
                <w:szCs w:val="16"/>
              </w:rPr>
              <w:t xml:space="preserve"> </w:t>
            </w:r>
            <w:r w:rsidRPr="004F5F2B">
              <w:rPr>
                <w:rFonts w:ascii="Verdana" w:hAnsi="Verdana"/>
                <w:b/>
                <w:bCs/>
                <w:color w:val="000000"/>
                <w:sz w:val="16"/>
                <w:szCs w:val="16"/>
              </w:rPr>
              <w:t>324</w:t>
            </w:r>
            <w:r w:rsidR="003B7BFA">
              <w:rPr>
                <w:rFonts w:ascii="Verdana" w:hAnsi="Verdana"/>
                <w:b/>
                <w:bCs/>
                <w:color w:val="000000"/>
                <w:sz w:val="16"/>
                <w:szCs w:val="16"/>
              </w:rPr>
              <w:t xml:space="preserve"> </w:t>
            </w:r>
            <w:r w:rsidRPr="004F5F2B">
              <w:rPr>
                <w:rFonts w:ascii="Verdana" w:hAnsi="Verdana"/>
                <w:b/>
                <w:bCs/>
                <w:color w:val="000000"/>
                <w:sz w:val="16"/>
                <w:szCs w:val="16"/>
              </w:rPr>
              <w:t>555</w:t>
            </w:r>
          </w:p>
        </w:tc>
        <w:tc>
          <w:tcPr>
            <w:tcW w:w="120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center"/>
              <w:rPr>
                <w:rFonts w:ascii="Verdana" w:hAnsi="Verdana"/>
                <w:b/>
                <w:bCs/>
                <w:color w:val="000000"/>
                <w:sz w:val="16"/>
                <w:szCs w:val="16"/>
              </w:rPr>
            </w:pPr>
            <w:r w:rsidRPr="004F5F2B">
              <w:rPr>
                <w:rFonts w:ascii="Verdana" w:hAnsi="Verdana"/>
                <w:b/>
                <w:bCs/>
                <w:color w:val="000000"/>
                <w:sz w:val="16"/>
                <w:szCs w:val="16"/>
              </w:rPr>
              <w:t>77,14%</w:t>
            </w:r>
          </w:p>
        </w:tc>
        <w:tc>
          <w:tcPr>
            <w:tcW w:w="1266"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FF01A8" w:rsidRPr="004F5F2B" w:rsidRDefault="00FF01A8" w:rsidP="003B7BFA">
            <w:pPr>
              <w:spacing w:before="120"/>
              <w:jc w:val="both"/>
              <w:rPr>
                <w:rFonts w:ascii="Verdana" w:hAnsi="Verdana"/>
                <w:b/>
                <w:bCs/>
                <w:color w:val="000000"/>
                <w:sz w:val="16"/>
                <w:szCs w:val="16"/>
              </w:rPr>
            </w:pPr>
            <w:r w:rsidRPr="004F5F2B">
              <w:rPr>
                <w:rFonts w:ascii="Verdana" w:hAnsi="Verdana"/>
                <w:b/>
                <w:bCs/>
                <w:color w:val="000000"/>
                <w:sz w:val="16"/>
                <w:szCs w:val="16"/>
              </w:rPr>
              <w:t> </w:t>
            </w:r>
          </w:p>
        </w:tc>
      </w:tr>
      <w:tr w:rsidR="00FF01A8" w:rsidRPr="004F5F2B" w:rsidTr="00C4514D">
        <w:trPr>
          <w:trHeight w:val="315"/>
        </w:trPr>
        <w:tc>
          <w:tcPr>
            <w:tcW w:w="1500" w:type="dxa"/>
            <w:vMerge/>
            <w:tcBorders>
              <w:top w:val="nil"/>
              <w:left w:val="single" w:sz="8" w:space="0" w:color="auto"/>
              <w:bottom w:val="single" w:sz="8" w:space="0" w:color="000000"/>
              <w:right w:val="single" w:sz="8" w:space="0" w:color="auto"/>
            </w:tcBorders>
            <w:vAlign w:val="center"/>
          </w:tcPr>
          <w:p w:rsidR="00FF01A8" w:rsidRPr="004F5F2B" w:rsidRDefault="00FF01A8" w:rsidP="00FF01A8">
            <w:pPr>
              <w:rPr>
                <w:rFonts w:ascii="Verdana" w:hAnsi="Verdana"/>
                <w:b/>
                <w:bCs/>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tcPr>
          <w:p w:rsidR="00FF01A8" w:rsidRPr="004F5F2B" w:rsidRDefault="00FF01A8" w:rsidP="00FF01A8">
            <w:pPr>
              <w:rPr>
                <w:rFonts w:ascii="Verdana" w:hAnsi="Verdana"/>
                <w:b/>
                <w:bCs/>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tcPr>
          <w:p w:rsidR="00FF01A8" w:rsidRPr="004F5F2B" w:rsidRDefault="00FF01A8" w:rsidP="00FF01A8">
            <w:pPr>
              <w:rPr>
                <w:rFonts w:ascii="Verdana" w:hAnsi="Verdana"/>
                <w:b/>
                <w:bCs/>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FF01A8">
            <w:pPr>
              <w:rPr>
                <w:rFonts w:ascii="Verdana" w:hAnsi="Verdana"/>
                <w:b/>
                <w:bCs/>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FF01A8">
            <w:pPr>
              <w:rPr>
                <w:rFonts w:ascii="Verdana" w:hAnsi="Verdana"/>
                <w:b/>
                <w:bCs/>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FF01A8">
            <w:pPr>
              <w:rPr>
                <w:rFonts w:ascii="Verdana" w:hAnsi="Verdana"/>
                <w:b/>
                <w:bCs/>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FF01A8">
            <w:pPr>
              <w:rPr>
                <w:rFonts w:ascii="Verdana" w:hAnsi="Verdana"/>
                <w:b/>
                <w:bCs/>
                <w:color w:val="000000"/>
                <w:sz w:val="16"/>
                <w:szCs w:val="16"/>
              </w:rPr>
            </w:pPr>
          </w:p>
        </w:tc>
        <w:tc>
          <w:tcPr>
            <w:tcW w:w="1200" w:type="dxa"/>
            <w:vMerge/>
            <w:tcBorders>
              <w:top w:val="nil"/>
              <w:left w:val="single" w:sz="8" w:space="0" w:color="auto"/>
              <w:bottom w:val="single" w:sz="8" w:space="0" w:color="000000"/>
              <w:right w:val="single" w:sz="8" w:space="0" w:color="auto"/>
            </w:tcBorders>
            <w:vAlign w:val="center"/>
          </w:tcPr>
          <w:p w:rsidR="00FF01A8" w:rsidRPr="004F5F2B" w:rsidRDefault="00FF01A8" w:rsidP="00FF01A8">
            <w:pPr>
              <w:rPr>
                <w:rFonts w:ascii="Verdana" w:hAnsi="Verdana"/>
                <w:b/>
                <w:bCs/>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FF01A8">
            <w:pPr>
              <w:rPr>
                <w:rFonts w:ascii="Verdana" w:hAnsi="Verdana"/>
                <w:b/>
                <w:bCs/>
                <w:color w:val="000000"/>
                <w:sz w:val="16"/>
                <w:szCs w:val="16"/>
              </w:rPr>
            </w:pPr>
          </w:p>
        </w:tc>
        <w:tc>
          <w:tcPr>
            <w:tcW w:w="1200"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FF01A8">
            <w:pPr>
              <w:rPr>
                <w:rFonts w:ascii="Verdana" w:hAnsi="Verdana"/>
                <w:b/>
                <w:bCs/>
                <w:color w:val="000000"/>
                <w:sz w:val="16"/>
                <w:szCs w:val="16"/>
              </w:rPr>
            </w:pPr>
          </w:p>
        </w:tc>
        <w:tc>
          <w:tcPr>
            <w:tcW w:w="1266" w:type="dxa"/>
            <w:gridSpan w:val="2"/>
            <w:vMerge/>
            <w:tcBorders>
              <w:top w:val="nil"/>
              <w:left w:val="single" w:sz="8" w:space="0" w:color="auto"/>
              <w:bottom w:val="single" w:sz="8" w:space="0" w:color="000000"/>
              <w:right w:val="single" w:sz="8" w:space="0" w:color="auto"/>
            </w:tcBorders>
            <w:vAlign w:val="center"/>
          </w:tcPr>
          <w:p w:rsidR="00FF01A8" w:rsidRPr="004F5F2B" w:rsidRDefault="00FF01A8" w:rsidP="00FF01A8">
            <w:pPr>
              <w:rPr>
                <w:rFonts w:ascii="Verdana" w:hAnsi="Verdana"/>
                <w:b/>
                <w:bCs/>
                <w:color w:val="000000"/>
                <w:sz w:val="16"/>
                <w:szCs w:val="16"/>
              </w:rPr>
            </w:pPr>
          </w:p>
        </w:tc>
      </w:tr>
    </w:tbl>
    <w:p w:rsidR="00FF01A8" w:rsidRPr="004F5F2B" w:rsidRDefault="00FF01A8" w:rsidP="00FF01A8">
      <w:pPr>
        <w:rPr>
          <w:rFonts w:ascii="Verdana" w:hAnsi="Verdana"/>
          <w:sz w:val="16"/>
          <w:szCs w:val="16"/>
        </w:rPr>
      </w:pPr>
    </w:p>
    <w:p w:rsidR="00FF01A8" w:rsidRPr="004F5F2B" w:rsidRDefault="00FF01A8" w:rsidP="00FF01A8">
      <w:pPr>
        <w:rPr>
          <w:rFonts w:ascii="Verdana" w:hAnsi="Verdana"/>
          <w:b/>
        </w:rPr>
        <w:sectPr w:rsidR="00FF01A8" w:rsidRPr="004F5F2B" w:rsidSect="001B277B">
          <w:pgSz w:w="16838" w:h="11906" w:orient="landscape"/>
          <w:pgMar w:top="1417" w:right="1417" w:bottom="1417" w:left="1417" w:header="708" w:footer="708" w:gutter="0"/>
          <w:cols w:space="708"/>
          <w:docGrid w:linePitch="360"/>
        </w:sectPr>
      </w:pPr>
    </w:p>
    <w:p w:rsidR="00FF01A8" w:rsidRPr="001B277B" w:rsidRDefault="00FF01A8" w:rsidP="001B277B">
      <w:pPr>
        <w:pStyle w:val="2"/>
        <w:jc w:val="center"/>
        <w:rPr>
          <w:bCs w:val="0"/>
          <w:sz w:val="22"/>
          <w:szCs w:val="22"/>
        </w:rPr>
      </w:pPr>
      <w:r w:rsidRPr="001B277B">
        <w:rPr>
          <w:bCs w:val="0"/>
          <w:sz w:val="22"/>
          <w:szCs w:val="22"/>
        </w:rPr>
        <w:t xml:space="preserve">3.2 B </w:t>
      </w:r>
      <w:r w:rsidR="001B277B">
        <w:rPr>
          <w:bCs w:val="0"/>
          <w:sz w:val="22"/>
          <w:szCs w:val="22"/>
        </w:rPr>
        <w:tab/>
      </w:r>
      <w:r w:rsidRPr="001B277B">
        <w:rPr>
          <w:bCs w:val="0"/>
          <w:sz w:val="22"/>
          <w:szCs w:val="22"/>
        </w:rPr>
        <w:t>Breakdown of the financial plan of the cooperation programme by priority axis and thematic objective of ETC regulation</w:t>
      </w:r>
    </w:p>
    <w:tbl>
      <w:tblPr>
        <w:tblW w:w="0" w:type="auto"/>
        <w:tblInd w:w="55" w:type="dxa"/>
        <w:tblCellMar>
          <w:left w:w="70" w:type="dxa"/>
          <w:right w:w="70" w:type="dxa"/>
        </w:tblCellMar>
        <w:tblLook w:val="04A0" w:firstRow="1" w:lastRow="0" w:firstColumn="1" w:lastColumn="0" w:noHBand="0" w:noVBand="1"/>
      </w:tblPr>
      <w:tblGrid>
        <w:gridCol w:w="1387"/>
        <w:gridCol w:w="2144"/>
        <w:gridCol w:w="1572"/>
        <w:gridCol w:w="2246"/>
        <w:gridCol w:w="1486"/>
      </w:tblGrid>
      <w:tr w:rsidR="00FF01A8" w:rsidRPr="00C4514D" w:rsidTr="00FF01A8">
        <w:trPr>
          <w:trHeight w:val="315"/>
        </w:trPr>
        <w:tc>
          <w:tcPr>
            <w:tcW w:w="0" w:type="auto"/>
            <w:tcBorders>
              <w:top w:val="nil"/>
              <w:left w:val="nil"/>
              <w:bottom w:val="nil"/>
              <w:right w:val="nil"/>
            </w:tcBorders>
            <w:shd w:val="clear" w:color="auto" w:fill="auto"/>
            <w:noWrap/>
            <w:vAlign w:val="bottom"/>
          </w:tcPr>
          <w:p w:rsidR="00FF01A8" w:rsidRPr="00C4514D" w:rsidRDefault="00FF01A8" w:rsidP="00FF01A8">
            <w:pPr>
              <w:jc w:val="both"/>
              <w:rPr>
                <w:rFonts w:ascii="Verdana" w:hAnsi="Verdana"/>
                <w:b/>
                <w:bCs/>
                <w:color w:val="000000"/>
                <w:sz w:val="22"/>
                <w:szCs w:val="22"/>
              </w:rPr>
            </w:pPr>
          </w:p>
          <w:p w:rsidR="00FF01A8" w:rsidRPr="00C4514D" w:rsidRDefault="00FF01A8" w:rsidP="00FF01A8">
            <w:pPr>
              <w:jc w:val="both"/>
              <w:rPr>
                <w:rFonts w:ascii="Verdana" w:hAnsi="Verdana"/>
                <w:b/>
                <w:bCs/>
                <w:color w:val="000000"/>
                <w:sz w:val="22"/>
                <w:szCs w:val="22"/>
              </w:rPr>
            </w:pPr>
            <w:r w:rsidRPr="00C4514D">
              <w:rPr>
                <w:rFonts w:ascii="Verdana" w:hAnsi="Verdana"/>
                <w:b/>
                <w:bCs/>
                <w:color w:val="000000"/>
                <w:sz w:val="22"/>
                <w:szCs w:val="22"/>
              </w:rPr>
              <w:t xml:space="preserve">Table 17 </w:t>
            </w:r>
          </w:p>
          <w:p w:rsidR="00FF01A8" w:rsidRPr="00C4514D" w:rsidRDefault="00FF01A8" w:rsidP="00FF01A8">
            <w:pPr>
              <w:jc w:val="both"/>
              <w:rPr>
                <w:rFonts w:ascii="Verdana" w:hAnsi="Verdana"/>
                <w:b/>
                <w:bCs/>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c>
          <w:tcPr>
            <w:tcW w:w="0" w:type="auto"/>
            <w:tcBorders>
              <w:top w:val="nil"/>
              <w:left w:val="nil"/>
              <w:bottom w:val="nil"/>
              <w:right w:val="nil"/>
            </w:tcBorders>
            <w:shd w:val="clear" w:color="auto" w:fill="auto"/>
            <w:noWrap/>
            <w:vAlign w:val="bottom"/>
          </w:tcPr>
          <w:p w:rsidR="00FF01A8" w:rsidRPr="00C4514D" w:rsidRDefault="00FF01A8" w:rsidP="00FF01A8">
            <w:pPr>
              <w:rPr>
                <w:rFonts w:ascii="Verdana" w:hAnsi="Verdana"/>
                <w:color w:val="000000"/>
                <w:sz w:val="22"/>
                <w:szCs w:val="22"/>
              </w:rPr>
            </w:pPr>
          </w:p>
        </w:tc>
      </w:tr>
      <w:tr w:rsidR="00FF01A8" w:rsidRPr="004F5F2B" w:rsidTr="00FF01A8">
        <w:trPr>
          <w:trHeight w:val="525"/>
        </w:trPr>
        <w:tc>
          <w:tcPr>
            <w:tcW w:w="0" w:type="auto"/>
            <w:tcBorders>
              <w:top w:val="single" w:sz="8" w:space="0" w:color="auto"/>
              <w:left w:val="single" w:sz="8" w:space="0" w:color="auto"/>
              <w:bottom w:val="nil"/>
              <w:right w:val="single" w:sz="8" w:space="0" w:color="auto"/>
            </w:tcBorders>
            <w:shd w:val="clear" w:color="auto" w:fill="auto"/>
            <w:vAlign w:val="center"/>
          </w:tcPr>
          <w:p w:rsidR="00FF01A8" w:rsidRPr="004F5F2B" w:rsidRDefault="00FF01A8" w:rsidP="00FF01A8">
            <w:pPr>
              <w:jc w:val="center"/>
              <w:rPr>
                <w:rFonts w:ascii="Verdana" w:hAnsi="Verdana"/>
                <w:b/>
                <w:bCs/>
                <w:color w:val="000000"/>
                <w:sz w:val="18"/>
                <w:szCs w:val="18"/>
              </w:rPr>
            </w:pPr>
            <w:r w:rsidRPr="004F5F2B">
              <w:rPr>
                <w:rFonts w:ascii="Verdana" w:hAnsi="Verdana"/>
                <w:b/>
                <w:bCs/>
                <w:color w:val="000000"/>
                <w:sz w:val="18"/>
                <w:szCs w:val="18"/>
              </w:rPr>
              <w:t>Priority axis</w:t>
            </w:r>
          </w:p>
        </w:tc>
        <w:tc>
          <w:tcPr>
            <w:tcW w:w="0" w:type="auto"/>
            <w:tcBorders>
              <w:top w:val="single" w:sz="8" w:space="0" w:color="auto"/>
              <w:left w:val="nil"/>
              <w:bottom w:val="single" w:sz="8" w:space="0" w:color="auto"/>
              <w:right w:val="single" w:sz="8" w:space="0" w:color="auto"/>
            </w:tcBorders>
            <w:shd w:val="clear" w:color="auto" w:fill="auto"/>
            <w:vAlign w:val="center"/>
          </w:tcPr>
          <w:p w:rsidR="00FF01A8" w:rsidRPr="004F5F2B" w:rsidRDefault="00FF01A8" w:rsidP="00FF01A8">
            <w:pPr>
              <w:jc w:val="center"/>
              <w:rPr>
                <w:rFonts w:ascii="Verdana" w:hAnsi="Verdana"/>
                <w:b/>
                <w:bCs/>
                <w:color w:val="000000"/>
                <w:sz w:val="18"/>
                <w:szCs w:val="18"/>
              </w:rPr>
            </w:pPr>
            <w:r w:rsidRPr="004F5F2B">
              <w:rPr>
                <w:rFonts w:ascii="Verdana" w:hAnsi="Verdana"/>
                <w:b/>
                <w:bCs/>
                <w:color w:val="000000"/>
                <w:sz w:val="18"/>
                <w:szCs w:val="18"/>
              </w:rPr>
              <w:t>Thematic objective</w:t>
            </w:r>
          </w:p>
        </w:tc>
        <w:tc>
          <w:tcPr>
            <w:tcW w:w="0" w:type="auto"/>
            <w:tcBorders>
              <w:top w:val="single" w:sz="8" w:space="0" w:color="auto"/>
              <w:left w:val="nil"/>
              <w:bottom w:val="single" w:sz="8" w:space="0" w:color="auto"/>
              <w:right w:val="single" w:sz="8" w:space="0" w:color="auto"/>
            </w:tcBorders>
            <w:shd w:val="clear" w:color="auto" w:fill="auto"/>
            <w:vAlign w:val="center"/>
          </w:tcPr>
          <w:p w:rsidR="00FF01A8" w:rsidRPr="004F5F2B" w:rsidRDefault="00FF01A8" w:rsidP="00FF01A8">
            <w:pPr>
              <w:jc w:val="center"/>
              <w:rPr>
                <w:rFonts w:ascii="Verdana" w:hAnsi="Verdana"/>
                <w:b/>
                <w:bCs/>
                <w:color w:val="000000"/>
                <w:sz w:val="18"/>
                <w:szCs w:val="18"/>
              </w:rPr>
            </w:pPr>
            <w:r w:rsidRPr="004F5F2B">
              <w:rPr>
                <w:rFonts w:ascii="Verdana" w:hAnsi="Verdana"/>
                <w:b/>
                <w:bCs/>
                <w:color w:val="000000"/>
                <w:sz w:val="18"/>
                <w:szCs w:val="18"/>
              </w:rPr>
              <w:t>Union support</w:t>
            </w:r>
          </w:p>
        </w:tc>
        <w:tc>
          <w:tcPr>
            <w:tcW w:w="0" w:type="auto"/>
            <w:tcBorders>
              <w:top w:val="single" w:sz="8" w:space="0" w:color="auto"/>
              <w:left w:val="nil"/>
              <w:bottom w:val="single" w:sz="8" w:space="0" w:color="auto"/>
              <w:right w:val="single" w:sz="8" w:space="0" w:color="auto"/>
            </w:tcBorders>
            <w:shd w:val="clear" w:color="auto" w:fill="auto"/>
            <w:vAlign w:val="center"/>
          </w:tcPr>
          <w:p w:rsidR="00FF01A8" w:rsidRPr="004F5F2B" w:rsidRDefault="00FF01A8" w:rsidP="00FF01A8">
            <w:pPr>
              <w:jc w:val="center"/>
              <w:rPr>
                <w:rFonts w:ascii="Verdana" w:hAnsi="Verdana"/>
                <w:b/>
                <w:bCs/>
                <w:color w:val="000000"/>
                <w:sz w:val="18"/>
                <w:szCs w:val="18"/>
              </w:rPr>
            </w:pPr>
            <w:r w:rsidRPr="004F5F2B">
              <w:rPr>
                <w:rFonts w:ascii="Verdana" w:hAnsi="Verdana"/>
                <w:b/>
                <w:bCs/>
                <w:color w:val="000000"/>
                <w:sz w:val="18"/>
                <w:szCs w:val="18"/>
              </w:rPr>
              <w:t>National counterpart</w:t>
            </w:r>
          </w:p>
        </w:tc>
        <w:tc>
          <w:tcPr>
            <w:tcW w:w="0" w:type="auto"/>
            <w:tcBorders>
              <w:top w:val="single" w:sz="8" w:space="0" w:color="auto"/>
              <w:left w:val="nil"/>
              <w:bottom w:val="single" w:sz="8" w:space="0" w:color="auto"/>
              <w:right w:val="single" w:sz="8" w:space="0" w:color="auto"/>
            </w:tcBorders>
            <w:shd w:val="clear" w:color="auto" w:fill="auto"/>
            <w:vAlign w:val="center"/>
          </w:tcPr>
          <w:p w:rsidR="00FF01A8" w:rsidRPr="004F5F2B" w:rsidRDefault="00FF01A8" w:rsidP="00FF01A8">
            <w:pPr>
              <w:jc w:val="center"/>
              <w:rPr>
                <w:rFonts w:ascii="Verdana" w:hAnsi="Verdana"/>
                <w:b/>
                <w:bCs/>
                <w:color w:val="000000"/>
                <w:sz w:val="18"/>
                <w:szCs w:val="18"/>
              </w:rPr>
            </w:pPr>
            <w:r w:rsidRPr="004F5F2B">
              <w:rPr>
                <w:rFonts w:ascii="Verdana" w:hAnsi="Verdana"/>
                <w:b/>
                <w:bCs/>
                <w:color w:val="000000"/>
                <w:sz w:val="18"/>
                <w:szCs w:val="18"/>
              </w:rPr>
              <w:t>Total funding</w:t>
            </w:r>
          </w:p>
        </w:tc>
      </w:tr>
      <w:tr w:rsidR="00FF01A8" w:rsidRPr="004F5F2B" w:rsidTr="00FF01A8">
        <w:trPr>
          <w:trHeight w:val="5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F01A8" w:rsidRPr="004F5F2B" w:rsidRDefault="00FF01A8" w:rsidP="00FF01A8">
            <w:pPr>
              <w:jc w:val="center"/>
              <w:rPr>
                <w:rFonts w:ascii="Verdana" w:hAnsi="Verdana"/>
                <w:color w:val="000000"/>
                <w:sz w:val="18"/>
                <w:szCs w:val="18"/>
              </w:rPr>
            </w:pPr>
            <w:r w:rsidRPr="004F5F2B">
              <w:rPr>
                <w:rFonts w:ascii="Verdana" w:hAnsi="Verdana"/>
                <w:color w:val="000000"/>
                <w:sz w:val="18"/>
                <w:szCs w:val="18"/>
              </w:rPr>
              <w:t>Priority axis 1</w:t>
            </w:r>
          </w:p>
        </w:tc>
        <w:tc>
          <w:tcPr>
            <w:tcW w:w="0" w:type="auto"/>
            <w:tcBorders>
              <w:top w:val="nil"/>
              <w:left w:val="nil"/>
              <w:bottom w:val="single" w:sz="8" w:space="0" w:color="auto"/>
              <w:right w:val="single" w:sz="8" w:space="0" w:color="auto"/>
            </w:tcBorders>
            <w:shd w:val="clear" w:color="auto" w:fill="auto"/>
            <w:vAlign w:val="center"/>
          </w:tcPr>
          <w:p w:rsidR="00FF01A8" w:rsidRPr="004F5F2B" w:rsidRDefault="00FF01A8" w:rsidP="00FF01A8">
            <w:pPr>
              <w:jc w:val="center"/>
              <w:rPr>
                <w:rFonts w:ascii="Verdana" w:hAnsi="Verdana"/>
                <w:color w:val="000000"/>
                <w:sz w:val="18"/>
                <w:szCs w:val="18"/>
              </w:rPr>
            </w:pPr>
            <w:r w:rsidRPr="004F5F2B">
              <w:rPr>
                <w:rFonts w:ascii="Verdana" w:hAnsi="Verdana"/>
                <w:color w:val="000000"/>
                <w:sz w:val="18"/>
                <w:szCs w:val="18"/>
              </w:rPr>
              <w:t>Thematic objective 11</w:t>
            </w:r>
          </w:p>
        </w:tc>
        <w:tc>
          <w:tcPr>
            <w:tcW w:w="0" w:type="auto"/>
            <w:tcBorders>
              <w:top w:val="nil"/>
              <w:left w:val="nil"/>
              <w:bottom w:val="single" w:sz="8" w:space="0" w:color="auto"/>
              <w:right w:val="single" w:sz="8" w:space="0" w:color="auto"/>
            </w:tcBorders>
            <w:shd w:val="clear" w:color="auto" w:fill="auto"/>
            <w:vAlign w:val="center"/>
          </w:tcPr>
          <w:p w:rsidR="00FF01A8" w:rsidRPr="004F5F2B" w:rsidRDefault="00FF01A8" w:rsidP="00FF01A8">
            <w:pPr>
              <w:jc w:val="center"/>
              <w:rPr>
                <w:rFonts w:ascii="Verdana" w:hAnsi="Verdana"/>
                <w:color w:val="000000"/>
                <w:sz w:val="18"/>
                <w:szCs w:val="18"/>
              </w:rPr>
            </w:pPr>
            <w:r w:rsidRPr="004F5F2B">
              <w:rPr>
                <w:rFonts w:ascii="Verdana" w:hAnsi="Verdana"/>
                <w:color w:val="000000"/>
                <w:sz w:val="18"/>
                <w:szCs w:val="18"/>
              </w:rPr>
              <w:t>69 843 880</w:t>
            </w:r>
          </w:p>
        </w:tc>
        <w:tc>
          <w:tcPr>
            <w:tcW w:w="0" w:type="auto"/>
            <w:tcBorders>
              <w:top w:val="nil"/>
              <w:left w:val="nil"/>
              <w:bottom w:val="single" w:sz="8" w:space="0" w:color="auto"/>
              <w:right w:val="single" w:sz="8" w:space="0" w:color="auto"/>
            </w:tcBorders>
            <w:shd w:val="clear" w:color="auto" w:fill="auto"/>
            <w:vAlign w:val="center"/>
          </w:tcPr>
          <w:p w:rsidR="00FF01A8" w:rsidRPr="004F5F2B" w:rsidRDefault="00FF01A8" w:rsidP="00FF01A8">
            <w:pPr>
              <w:jc w:val="center"/>
              <w:rPr>
                <w:rFonts w:ascii="Verdana" w:hAnsi="Verdana"/>
                <w:color w:val="000000"/>
                <w:sz w:val="18"/>
                <w:szCs w:val="18"/>
              </w:rPr>
            </w:pPr>
            <w:r w:rsidRPr="004F5F2B">
              <w:rPr>
                <w:rFonts w:ascii="Verdana" w:hAnsi="Verdana"/>
                <w:color w:val="000000"/>
                <w:sz w:val="18"/>
                <w:szCs w:val="18"/>
              </w:rPr>
              <w:t>18 375 002</w:t>
            </w:r>
          </w:p>
        </w:tc>
        <w:tc>
          <w:tcPr>
            <w:tcW w:w="0" w:type="auto"/>
            <w:tcBorders>
              <w:top w:val="nil"/>
              <w:left w:val="nil"/>
              <w:bottom w:val="single" w:sz="8" w:space="0" w:color="auto"/>
              <w:right w:val="single" w:sz="8" w:space="0" w:color="auto"/>
            </w:tcBorders>
            <w:shd w:val="clear" w:color="auto" w:fill="auto"/>
            <w:vAlign w:val="center"/>
          </w:tcPr>
          <w:p w:rsidR="00FF01A8" w:rsidRPr="004F5F2B" w:rsidRDefault="00FF01A8" w:rsidP="00FF01A8">
            <w:pPr>
              <w:jc w:val="center"/>
              <w:rPr>
                <w:rFonts w:ascii="Verdana" w:hAnsi="Verdana"/>
                <w:color w:val="000000"/>
                <w:sz w:val="18"/>
                <w:szCs w:val="18"/>
              </w:rPr>
            </w:pPr>
            <w:r w:rsidRPr="004F5F2B">
              <w:rPr>
                <w:rFonts w:ascii="Verdana" w:hAnsi="Verdana"/>
                <w:color w:val="000000"/>
                <w:sz w:val="18"/>
                <w:szCs w:val="18"/>
              </w:rPr>
              <w:t>88 218 882</w:t>
            </w:r>
          </w:p>
        </w:tc>
      </w:tr>
      <w:tr w:rsidR="00FF01A8" w:rsidRPr="004F5F2B" w:rsidTr="00FF01A8">
        <w:trPr>
          <w:trHeight w:val="525"/>
        </w:trPr>
        <w:tc>
          <w:tcPr>
            <w:tcW w:w="0" w:type="auto"/>
            <w:tcBorders>
              <w:top w:val="nil"/>
              <w:left w:val="single" w:sz="4" w:space="0" w:color="auto"/>
              <w:bottom w:val="single" w:sz="4" w:space="0" w:color="auto"/>
              <w:right w:val="single" w:sz="4" w:space="0" w:color="auto"/>
            </w:tcBorders>
            <w:shd w:val="clear" w:color="auto" w:fill="auto"/>
            <w:vAlign w:val="center"/>
          </w:tcPr>
          <w:p w:rsidR="00FF01A8" w:rsidRPr="004F5F2B" w:rsidRDefault="00FF01A8" w:rsidP="00FF01A8">
            <w:pPr>
              <w:jc w:val="center"/>
              <w:rPr>
                <w:rFonts w:ascii="Verdana" w:hAnsi="Verdana"/>
                <w:color w:val="000000"/>
                <w:sz w:val="18"/>
                <w:szCs w:val="18"/>
              </w:rPr>
            </w:pPr>
            <w:r w:rsidRPr="004F5F2B">
              <w:rPr>
                <w:rFonts w:ascii="Verdana" w:hAnsi="Verdana"/>
                <w:color w:val="000000"/>
                <w:sz w:val="18"/>
                <w:szCs w:val="18"/>
              </w:rPr>
              <w:t>Priority axis 2</w:t>
            </w:r>
          </w:p>
        </w:tc>
        <w:tc>
          <w:tcPr>
            <w:tcW w:w="0" w:type="auto"/>
            <w:tcBorders>
              <w:top w:val="nil"/>
              <w:left w:val="nil"/>
              <w:bottom w:val="single" w:sz="8" w:space="0" w:color="auto"/>
              <w:right w:val="single" w:sz="8" w:space="0" w:color="auto"/>
            </w:tcBorders>
            <w:shd w:val="clear" w:color="auto" w:fill="auto"/>
            <w:vAlign w:val="center"/>
          </w:tcPr>
          <w:p w:rsidR="00FF01A8" w:rsidRPr="004F5F2B" w:rsidRDefault="00FF01A8" w:rsidP="00FF01A8">
            <w:pPr>
              <w:jc w:val="center"/>
              <w:rPr>
                <w:rFonts w:ascii="Verdana" w:hAnsi="Verdana"/>
                <w:color w:val="000000"/>
                <w:sz w:val="18"/>
                <w:szCs w:val="18"/>
              </w:rPr>
            </w:pPr>
            <w:r w:rsidRPr="004F5F2B">
              <w:rPr>
                <w:rFonts w:ascii="Verdana" w:hAnsi="Verdana"/>
                <w:color w:val="000000"/>
                <w:sz w:val="18"/>
                <w:szCs w:val="18"/>
              </w:rPr>
              <w:t>Thematic objective 11</w:t>
            </w:r>
          </w:p>
        </w:tc>
        <w:tc>
          <w:tcPr>
            <w:tcW w:w="0" w:type="auto"/>
            <w:tcBorders>
              <w:top w:val="nil"/>
              <w:left w:val="nil"/>
              <w:bottom w:val="single" w:sz="8" w:space="0" w:color="auto"/>
              <w:right w:val="single" w:sz="8" w:space="0" w:color="auto"/>
            </w:tcBorders>
            <w:shd w:val="clear" w:color="auto" w:fill="auto"/>
            <w:vAlign w:val="center"/>
          </w:tcPr>
          <w:p w:rsidR="00FF01A8" w:rsidRPr="004F5F2B" w:rsidRDefault="00FF01A8" w:rsidP="00FF01A8">
            <w:pPr>
              <w:jc w:val="center"/>
              <w:rPr>
                <w:rFonts w:ascii="Verdana" w:hAnsi="Verdana"/>
                <w:color w:val="000000"/>
                <w:sz w:val="18"/>
                <w:szCs w:val="18"/>
              </w:rPr>
            </w:pPr>
            <w:r w:rsidRPr="004F5F2B">
              <w:rPr>
                <w:rFonts w:ascii="Verdana" w:hAnsi="Verdana"/>
                <w:color w:val="000000"/>
                <w:sz w:val="18"/>
                <w:szCs w:val="18"/>
              </w:rPr>
              <w:t>4 458 120</w:t>
            </w:r>
          </w:p>
        </w:tc>
        <w:tc>
          <w:tcPr>
            <w:tcW w:w="0" w:type="auto"/>
            <w:tcBorders>
              <w:top w:val="nil"/>
              <w:left w:val="nil"/>
              <w:bottom w:val="single" w:sz="8" w:space="0" w:color="auto"/>
              <w:right w:val="single" w:sz="8" w:space="0" w:color="auto"/>
            </w:tcBorders>
            <w:shd w:val="clear" w:color="auto" w:fill="auto"/>
            <w:vAlign w:val="center"/>
          </w:tcPr>
          <w:p w:rsidR="00FF01A8" w:rsidRPr="004F5F2B" w:rsidRDefault="00FF01A8" w:rsidP="00FF01A8">
            <w:pPr>
              <w:jc w:val="center"/>
              <w:rPr>
                <w:rFonts w:ascii="Verdana" w:hAnsi="Verdana"/>
                <w:color w:val="000000"/>
                <w:sz w:val="18"/>
                <w:szCs w:val="18"/>
              </w:rPr>
            </w:pPr>
            <w:r w:rsidRPr="004F5F2B">
              <w:rPr>
                <w:rFonts w:ascii="Verdana" w:hAnsi="Verdana"/>
                <w:color w:val="000000"/>
                <w:sz w:val="18"/>
                <w:szCs w:val="18"/>
              </w:rPr>
              <w:t>3 647 553</w:t>
            </w:r>
          </w:p>
        </w:tc>
        <w:tc>
          <w:tcPr>
            <w:tcW w:w="0" w:type="auto"/>
            <w:tcBorders>
              <w:top w:val="nil"/>
              <w:left w:val="nil"/>
              <w:bottom w:val="single" w:sz="8" w:space="0" w:color="auto"/>
              <w:right w:val="single" w:sz="8" w:space="0" w:color="auto"/>
            </w:tcBorders>
            <w:shd w:val="clear" w:color="auto" w:fill="auto"/>
            <w:vAlign w:val="center"/>
          </w:tcPr>
          <w:p w:rsidR="00FF01A8" w:rsidRPr="004F5F2B" w:rsidRDefault="00FF01A8" w:rsidP="00FF01A8">
            <w:pPr>
              <w:jc w:val="center"/>
              <w:rPr>
                <w:rFonts w:ascii="Verdana" w:hAnsi="Verdana"/>
                <w:color w:val="000000"/>
                <w:sz w:val="18"/>
                <w:szCs w:val="18"/>
              </w:rPr>
            </w:pPr>
            <w:r w:rsidRPr="004F5F2B">
              <w:rPr>
                <w:rFonts w:ascii="Verdana" w:hAnsi="Verdana"/>
                <w:color w:val="000000"/>
                <w:sz w:val="18"/>
                <w:szCs w:val="18"/>
              </w:rPr>
              <w:t>8 105 673</w:t>
            </w:r>
          </w:p>
        </w:tc>
      </w:tr>
      <w:tr w:rsidR="00FF01A8" w:rsidRPr="004F5F2B" w:rsidTr="00FF01A8">
        <w:trPr>
          <w:trHeight w:val="315"/>
        </w:trPr>
        <w:tc>
          <w:tcPr>
            <w:tcW w:w="0" w:type="auto"/>
            <w:tcBorders>
              <w:top w:val="nil"/>
              <w:left w:val="single" w:sz="8" w:space="0" w:color="auto"/>
              <w:bottom w:val="single" w:sz="8" w:space="0" w:color="auto"/>
              <w:right w:val="single" w:sz="8" w:space="0" w:color="auto"/>
            </w:tcBorders>
            <w:shd w:val="clear" w:color="auto" w:fill="auto"/>
            <w:vAlign w:val="center"/>
          </w:tcPr>
          <w:p w:rsidR="00FF01A8" w:rsidRPr="004F5F2B" w:rsidRDefault="00FF01A8" w:rsidP="00FF01A8">
            <w:pPr>
              <w:jc w:val="center"/>
              <w:rPr>
                <w:rFonts w:ascii="Verdana" w:hAnsi="Verdana"/>
                <w:b/>
                <w:bCs/>
                <w:color w:val="000000"/>
                <w:sz w:val="18"/>
                <w:szCs w:val="18"/>
              </w:rPr>
            </w:pPr>
            <w:r w:rsidRPr="004F5F2B">
              <w:rPr>
                <w:rFonts w:ascii="Verdana" w:hAnsi="Verdana"/>
                <w:b/>
                <w:bCs/>
                <w:color w:val="000000"/>
                <w:sz w:val="18"/>
                <w:szCs w:val="18"/>
              </w:rPr>
              <w:t>TOTAL</w:t>
            </w:r>
          </w:p>
        </w:tc>
        <w:tc>
          <w:tcPr>
            <w:tcW w:w="0" w:type="auto"/>
            <w:tcBorders>
              <w:top w:val="nil"/>
              <w:left w:val="nil"/>
              <w:bottom w:val="single" w:sz="8" w:space="0" w:color="auto"/>
              <w:right w:val="single" w:sz="8" w:space="0" w:color="auto"/>
            </w:tcBorders>
            <w:shd w:val="clear" w:color="auto" w:fill="auto"/>
            <w:vAlign w:val="center"/>
          </w:tcPr>
          <w:p w:rsidR="00FF01A8" w:rsidRPr="004F5F2B" w:rsidRDefault="00FF01A8" w:rsidP="00FF01A8">
            <w:pPr>
              <w:jc w:val="center"/>
              <w:rPr>
                <w:rFonts w:ascii="Verdana" w:hAnsi="Verdana"/>
                <w:b/>
                <w:bCs/>
                <w:color w:val="000000"/>
                <w:sz w:val="18"/>
                <w:szCs w:val="18"/>
              </w:rPr>
            </w:pPr>
          </w:p>
        </w:tc>
        <w:tc>
          <w:tcPr>
            <w:tcW w:w="0" w:type="auto"/>
            <w:tcBorders>
              <w:top w:val="nil"/>
              <w:left w:val="nil"/>
              <w:bottom w:val="single" w:sz="8" w:space="0" w:color="auto"/>
              <w:right w:val="single" w:sz="8" w:space="0" w:color="auto"/>
            </w:tcBorders>
            <w:shd w:val="clear" w:color="auto" w:fill="auto"/>
            <w:vAlign w:val="center"/>
          </w:tcPr>
          <w:p w:rsidR="00FF01A8" w:rsidRPr="004F5F2B" w:rsidRDefault="00FF01A8" w:rsidP="00FF01A8">
            <w:pPr>
              <w:jc w:val="center"/>
              <w:rPr>
                <w:rFonts w:ascii="Verdana" w:hAnsi="Verdana"/>
                <w:b/>
                <w:bCs/>
                <w:color w:val="000000"/>
                <w:sz w:val="18"/>
                <w:szCs w:val="18"/>
              </w:rPr>
            </w:pPr>
            <w:r w:rsidRPr="004F5F2B">
              <w:rPr>
                <w:rFonts w:ascii="Verdana" w:hAnsi="Verdana"/>
                <w:b/>
                <w:bCs/>
                <w:color w:val="000000"/>
                <w:sz w:val="18"/>
                <w:szCs w:val="18"/>
              </w:rPr>
              <w:t>74 302 000</w:t>
            </w:r>
          </w:p>
        </w:tc>
        <w:tc>
          <w:tcPr>
            <w:tcW w:w="0" w:type="auto"/>
            <w:tcBorders>
              <w:top w:val="nil"/>
              <w:left w:val="nil"/>
              <w:bottom w:val="single" w:sz="8" w:space="0" w:color="auto"/>
              <w:right w:val="single" w:sz="8" w:space="0" w:color="auto"/>
            </w:tcBorders>
            <w:shd w:val="clear" w:color="auto" w:fill="auto"/>
            <w:vAlign w:val="center"/>
          </w:tcPr>
          <w:p w:rsidR="00FF01A8" w:rsidRPr="004F5F2B" w:rsidRDefault="00FF01A8" w:rsidP="00FF01A8">
            <w:pPr>
              <w:jc w:val="center"/>
              <w:rPr>
                <w:rFonts w:ascii="Verdana" w:hAnsi="Verdana"/>
                <w:b/>
                <w:bCs/>
                <w:color w:val="000000"/>
                <w:sz w:val="18"/>
                <w:szCs w:val="18"/>
              </w:rPr>
            </w:pPr>
            <w:r w:rsidRPr="004F5F2B">
              <w:rPr>
                <w:rFonts w:ascii="Verdana" w:hAnsi="Verdana"/>
                <w:b/>
                <w:bCs/>
                <w:color w:val="000000"/>
                <w:sz w:val="18"/>
                <w:szCs w:val="18"/>
              </w:rPr>
              <w:t>22 022 555</w:t>
            </w:r>
          </w:p>
        </w:tc>
        <w:tc>
          <w:tcPr>
            <w:tcW w:w="0" w:type="auto"/>
            <w:tcBorders>
              <w:top w:val="nil"/>
              <w:left w:val="nil"/>
              <w:bottom w:val="single" w:sz="8" w:space="0" w:color="auto"/>
              <w:right w:val="single" w:sz="8" w:space="0" w:color="auto"/>
            </w:tcBorders>
            <w:shd w:val="clear" w:color="auto" w:fill="auto"/>
            <w:vAlign w:val="center"/>
          </w:tcPr>
          <w:p w:rsidR="00FF01A8" w:rsidRPr="004F5F2B" w:rsidRDefault="00FF01A8" w:rsidP="00FF01A8">
            <w:pPr>
              <w:jc w:val="center"/>
              <w:rPr>
                <w:rFonts w:ascii="Verdana" w:hAnsi="Verdana"/>
                <w:b/>
                <w:bCs/>
                <w:color w:val="000000"/>
                <w:sz w:val="18"/>
                <w:szCs w:val="18"/>
              </w:rPr>
            </w:pPr>
            <w:r w:rsidRPr="004F5F2B">
              <w:rPr>
                <w:rFonts w:ascii="Verdana" w:hAnsi="Verdana"/>
                <w:b/>
                <w:bCs/>
                <w:color w:val="000000"/>
                <w:sz w:val="18"/>
                <w:szCs w:val="18"/>
              </w:rPr>
              <w:t>96 324 555</w:t>
            </w:r>
          </w:p>
        </w:tc>
      </w:tr>
    </w:tbl>
    <w:p w:rsidR="00FF01A8" w:rsidRPr="004F5F2B" w:rsidRDefault="00FF01A8" w:rsidP="00FF01A8">
      <w:pPr>
        <w:rPr>
          <w:rFonts w:ascii="Verdana" w:hAnsi="Verdana"/>
          <w:sz w:val="18"/>
          <w:szCs w:val="18"/>
        </w:rPr>
      </w:pPr>
    </w:p>
    <w:p w:rsidR="00FF01A8" w:rsidRPr="004F5F2B" w:rsidRDefault="00FF01A8" w:rsidP="00FF01A8">
      <w:pPr>
        <w:rPr>
          <w:rFonts w:ascii="Verdana" w:hAnsi="Verdana"/>
          <w:sz w:val="18"/>
          <w:szCs w:val="18"/>
        </w:rPr>
      </w:pPr>
    </w:p>
    <w:p w:rsidR="00FF01A8" w:rsidRPr="00C4514D" w:rsidRDefault="00FF01A8" w:rsidP="00FF01A8">
      <w:pPr>
        <w:rPr>
          <w:rFonts w:ascii="Verdana" w:hAnsi="Verdana"/>
          <w:b/>
          <w:sz w:val="22"/>
          <w:szCs w:val="22"/>
        </w:rPr>
      </w:pPr>
      <w:r w:rsidRPr="00C4514D">
        <w:rPr>
          <w:rFonts w:ascii="Verdana" w:hAnsi="Verdana"/>
          <w:b/>
          <w:sz w:val="22"/>
          <w:szCs w:val="22"/>
        </w:rPr>
        <w:t>Table 18 Climate Change</w:t>
      </w:r>
    </w:p>
    <w:p w:rsidR="00FF01A8" w:rsidRPr="00C4514D" w:rsidRDefault="00FF01A8" w:rsidP="00FF01A8">
      <w:pPr>
        <w:rPr>
          <w:rFonts w:ascii="Verdana" w:hAnsi="Verdana"/>
          <w:sz w:val="22"/>
          <w:szCs w:val="22"/>
        </w:rPr>
      </w:pPr>
      <w:r w:rsidRPr="00C4514D">
        <w:rPr>
          <w:rFonts w:ascii="Verdana" w:hAnsi="Verdana"/>
          <w:sz w:val="22"/>
          <w:szCs w:val="22"/>
        </w:rPr>
        <w:t>Table generated automatically by SFC but not applicable to URBACT III.</w:t>
      </w:r>
    </w:p>
    <w:p w:rsidR="008F49F8" w:rsidRPr="00C4514D" w:rsidRDefault="008F49F8" w:rsidP="00592786">
      <w:pPr>
        <w:ind w:firstLine="708"/>
        <w:rPr>
          <w:rFonts w:ascii="Verdana" w:hAnsi="Verdana"/>
          <w:sz w:val="22"/>
          <w:szCs w:val="22"/>
        </w:rPr>
      </w:pPr>
    </w:p>
    <w:p w:rsidR="00E611D8" w:rsidRPr="004F5F2B" w:rsidRDefault="00E611D8" w:rsidP="00592786">
      <w:pPr>
        <w:ind w:firstLine="708"/>
        <w:rPr>
          <w:rFonts w:ascii="Verdana" w:hAnsi="Verdana"/>
        </w:rPr>
      </w:pPr>
    </w:p>
    <w:p w:rsidR="00E611D8" w:rsidRPr="004F5F2B" w:rsidRDefault="00E611D8">
      <w:pPr>
        <w:spacing w:after="200" w:line="276" w:lineRule="auto"/>
        <w:rPr>
          <w:rFonts w:ascii="Verdana" w:hAnsi="Verdana"/>
        </w:rPr>
      </w:pPr>
      <w:r w:rsidRPr="004F5F2B">
        <w:rPr>
          <w:rFonts w:ascii="Verdana" w:hAnsi="Verdana"/>
        </w:rPr>
        <w:br w:type="page"/>
      </w:r>
    </w:p>
    <w:p w:rsidR="00E611D8" w:rsidRPr="004F5F2B" w:rsidRDefault="00E611D8" w:rsidP="00592786">
      <w:pPr>
        <w:ind w:firstLine="708"/>
        <w:rPr>
          <w:rFonts w:ascii="Verdana" w:hAnsi="Verdana"/>
        </w:rPr>
      </w:pPr>
    </w:p>
    <w:p w:rsidR="00E611D8" w:rsidRPr="004F5F2B" w:rsidRDefault="00E611D8" w:rsidP="00592786">
      <w:pPr>
        <w:ind w:firstLine="708"/>
        <w:rPr>
          <w:rFonts w:ascii="Verdana" w:hAnsi="Verdana"/>
        </w:rPr>
      </w:pPr>
    </w:p>
    <w:p w:rsidR="00E611D8" w:rsidRPr="004F5F2B" w:rsidRDefault="00E611D8" w:rsidP="00592786">
      <w:pPr>
        <w:ind w:firstLine="708"/>
        <w:rPr>
          <w:rFonts w:ascii="Verdana" w:hAnsi="Verdana"/>
        </w:rPr>
      </w:pPr>
    </w:p>
    <w:p w:rsidR="00E611D8" w:rsidRPr="004F5F2B" w:rsidRDefault="00E611D8" w:rsidP="00592786">
      <w:pPr>
        <w:ind w:firstLine="708"/>
        <w:rPr>
          <w:rFonts w:ascii="Verdana" w:hAnsi="Verdana"/>
        </w:rPr>
      </w:pPr>
    </w:p>
    <w:p w:rsidR="00E611D8" w:rsidRPr="004F5F2B" w:rsidRDefault="00E611D8" w:rsidP="00592786">
      <w:pPr>
        <w:ind w:firstLine="708"/>
        <w:rPr>
          <w:rFonts w:ascii="Verdana" w:hAnsi="Verdana"/>
        </w:rPr>
      </w:pPr>
    </w:p>
    <w:p w:rsidR="00E611D8" w:rsidRPr="004F5F2B" w:rsidRDefault="00E611D8" w:rsidP="00592786">
      <w:pPr>
        <w:ind w:firstLine="708"/>
        <w:rPr>
          <w:rFonts w:ascii="Verdana" w:hAnsi="Verdana"/>
        </w:rPr>
      </w:pPr>
    </w:p>
    <w:p w:rsidR="00DA4B46" w:rsidRPr="004F5F2B" w:rsidRDefault="00DA4B46" w:rsidP="00DA4B46">
      <w:pPr>
        <w:spacing w:after="200" w:line="276" w:lineRule="auto"/>
        <w:rPr>
          <w:rFonts w:ascii="Verdana" w:hAnsi="Verdana"/>
        </w:rPr>
      </w:pPr>
    </w:p>
    <w:p w:rsidR="00AC759C" w:rsidRPr="004F5F2B" w:rsidRDefault="00AC759C" w:rsidP="00DA4B46">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r w:rsidRPr="004F5F2B">
        <w:rPr>
          <w:rFonts w:ascii="Verdana" w:hAnsi="Verdana"/>
          <w:b/>
          <w:bCs/>
        </w:rPr>
        <w:t>SECTION FOUR</w:t>
      </w: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cs="Arial"/>
          <w:b/>
          <w:bCs/>
          <w:kern w:val="36"/>
          <w:sz w:val="36"/>
          <w:szCs w:val="36"/>
        </w:rPr>
      </w:pPr>
      <w:r w:rsidRPr="004F5F2B">
        <w:rPr>
          <w:rFonts w:ascii="Verdana" w:hAnsi="Verdana" w:cs="Arial"/>
          <w:b/>
          <w:bCs/>
          <w:kern w:val="36"/>
          <w:sz w:val="36"/>
          <w:szCs w:val="36"/>
        </w:rPr>
        <w:t>Integrated approach</w:t>
      </w: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sz w:val="36"/>
          <w:szCs w:val="36"/>
        </w:rPr>
      </w:pPr>
      <w:r w:rsidRPr="004F5F2B">
        <w:rPr>
          <w:rFonts w:ascii="Verdana" w:hAnsi="Verdana" w:cs="Arial"/>
          <w:b/>
          <w:bCs/>
          <w:kern w:val="36"/>
          <w:sz w:val="36"/>
          <w:szCs w:val="36"/>
        </w:rPr>
        <w:t>to territorial development</w:t>
      </w: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sz w:val="32"/>
          <w:szCs w:val="32"/>
        </w:rPr>
      </w:pP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iCs/>
          <w:lang w:eastAsia="ar-SA"/>
        </w:rPr>
      </w:pPr>
      <w:r w:rsidRPr="004F5F2B">
        <w:rPr>
          <w:rFonts w:ascii="Verdana" w:hAnsi="Verdana"/>
          <w:b/>
          <w:bCs/>
        </w:rPr>
        <w:t>4.1</w:t>
      </w:r>
      <w:r w:rsidRPr="004F5F2B">
        <w:rPr>
          <w:rFonts w:ascii="Verdana" w:hAnsi="Verdana"/>
          <w:b/>
          <w:bCs/>
        </w:rPr>
        <w:tab/>
      </w:r>
      <w:r w:rsidRPr="004F5F2B">
        <w:rPr>
          <w:rFonts w:ascii="Verdana" w:eastAsia="Calibri" w:hAnsi="Verdana"/>
          <w:b/>
          <w:color w:val="000000"/>
        </w:rPr>
        <w:t>The URBACT approach to community-led local development</w:t>
      </w: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ind w:left="705" w:hanging="705"/>
        <w:jc w:val="both"/>
        <w:rPr>
          <w:rFonts w:ascii="Verdana" w:hAnsi="Verdana"/>
          <w:b/>
          <w:bCs/>
        </w:rPr>
      </w:pPr>
      <w:r w:rsidRPr="004F5F2B">
        <w:rPr>
          <w:rFonts w:ascii="Verdana" w:hAnsi="Verdana"/>
          <w:b/>
          <w:bCs/>
        </w:rPr>
        <w:t>4.2</w:t>
      </w:r>
      <w:r w:rsidRPr="004F5F2B">
        <w:rPr>
          <w:rFonts w:ascii="Verdana" w:hAnsi="Verdana"/>
          <w:b/>
          <w:bCs/>
        </w:rPr>
        <w:tab/>
      </w:r>
      <w:r w:rsidRPr="004F5F2B">
        <w:rPr>
          <w:rFonts w:ascii="Verdana" w:hAnsi="Verdana" w:cs="Calibri"/>
          <w:b/>
        </w:rPr>
        <w:t>The URBACT approach to integrated actions for sustainable development</w:t>
      </w: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ind w:left="705" w:hanging="705"/>
        <w:jc w:val="both"/>
        <w:rPr>
          <w:rFonts w:ascii="Verdana" w:hAnsi="Verdana"/>
          <w:b/>
          <w:bCs/>
        </w:rPr>
      </w:pPr>
      <w:r w:rsidRPr="004F5F2B">
        <w:rPr>
          <w:rFonts w:ascii="Verdana" w:hAnsi="Verdana"/>
          <w:b/>
          <w:bCs/>
        </w:rPr>
        <w:t>4.3</w:t>
      </w:r>
      <w:r w:rsidRPr="004F5F2B">
        <w:rPr>
          <w:rFonts w:ascii="Verdana" w:hAnsi="Verdana"/>
          <w:b/>
          <w:bCs/>
        </w:rPr>
        <w:tab/>
      </w:r>
      <w:r w:rsidRPr="004F5F2B">
        <w:rPr>
          <w:rFonts w:ascii="Verdana" w:eastAsia="Calibri" w:hAnsi="Verdana"/>
          <w:b/>
          <w:color w:val="000000"/>
        </w:rPr>
        <w:t>The URBACT approach to use Integrated Territorial Investment (ITI)</w:t>
      </w: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ind w:left="705" w:hanging="705"/>
        <w:jc w:val="both"/>
        <w:rPr>
          <w:rFonts w:ascii="Verdana" w:hAnsi="Verdana"/>
          <w:b/>
          <w:bCs/>
        </w:rPr>
      </w:pPr>
      <w:r w:rsidRPr="004F5F2B">
        <w:rPr>
          <w:rFonts w:ascii="Verdana" w:hAnsi="Verdana"/>
          <w:b/>
          <w:bCs/>
        </w:rPr>
        <w:t>4.4</w:t>
      </w:r>
      <w:r w:rsidRPr="004F5F2B">
        <w:rPr>
          <w:rFonts w:ascii="Verdana" w:hAnsi="Verdana"/>
          <w:b/>
          <w:bCs/>
        </w:rPr>
        <w:tab/>
      </w:r>
      <w:r w:rsidRPr="004F5F2B">
        <w:rPr>
          <w:rFonts w:ascii="Verdana" w:eastAsia="Calibri" w:hAnsi="Verdana"/>
          <w:b/>
          <w:color w:val="000000"/>
        </w:rPr>
        <w:t>The contribution of URBACT to macro-regional and sea basin strategies</w:t>
      </w: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DA4B46" w:rsidRPr="004F5F2B" w:rsidRDefault="00DA4B46" w:rsidP="00DA4B46">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DA4B46" w:rsidRPr="004F5F2B" w:rsidRDefault="00DA4B46" w:rsidP="00DA4B46">
      <w:pPr>
        <w:spacing w:after="200" w:line="276" w:lineRule="auto"/>
        <w:rPr>
          <w:rFonts w:ascii="Verdana" w:hAnsi="Verdana"/>
        </w:rPr>
      </w:pPr>
    </w:p>
    <w:p w:rsidR="00DA4B46" w:rsidRPr="004F5F2B" w:rsidRDefault="00DA4B46" w:rsidP="00DA4B46">
      <w:pPr>
        <w:spacing w:after="200" w:line="276" w:lineRule="auto"/>
        <w:rPr>
          <w:rFonts w:ascii="Verdana" w:hAnsi="Verdana"/>
        </w:rPr>
      </w:pPr>
    </w:p>
    <w:p w:rsidR="00E611D8" w:rsidRPr="004F5F2B" w:rsidRDefault="00E611D8" w:rsidP="00592786">
      <w:pPr>
        <w:ind w:firstLine="708"/>
        <w:rPr>
          <w:rFonts w:ascii="Verdana" w:hAnsi="Verdana"/>
        </w:rPr>
      </w:pPr>
    </w:p>
    <w:p w:rsidR="00E611D8" w:rsidRPr="004F5F2B" w:rsidRDefault="00E611D8" w:rsidP="00592786">
      <w:pPr>
        <w:ind w:firstLine="708"/>
        <w:rPr>
          <w:rFonts w:ascii="Verdana" w:hAnsi="Verdana"/>
        </w:rPr>
      </w:pPr>
    </w:p>
    <w:p w:rsidR="00E611D8" w:rsidRPr="004F5F2B" w:rsidRDefault="00E611D8" w:rsidP="00592786">
      <w:pPr>
        <w:ind w:firstLine="708"/>
        <w:rPr>
          <w:rFonts w:ascii="Verdana" w:hAnsi="Verdana"/>
        </w:rPr>
      </w:pPr>
    </w:p>
    <w:p w:rsidR="00E611D8" w:rsidRPr="004F5F2B" w:rsidRDefault="00E611D8" w:rsidP="00592786">
      <w:pPr>
        <w:ind w:firstLine="708"/>
        <w:rPr>
          <w:rFonts w:ascii="Verdana" w:hAnsi="Verdana"/>
        </w:rPr>
      </w:pPr>
    </w:p>
    <w:p w:rsidR="008F49F8" w:rsidRPr="004F5F2B" w:rsidRDefault="008F49F8" w:rsidP="00592786">
      <w:pPr>
        <w:ind w:firstLine="708"/>
        <w:rPr>
          <w:rFonts w:ascii="Verdana" w:hAnsi="Verdana"/>
        </w:rPr>
      </w:pPr>
    </w:p>
    <w:p w:rsidR="00FF01A8" w:rsidRPr="004F5F2B" w:rsidRDefault="00FF01A8">
      <w:pPr>
        <w:spacing w:after="200" w:line="276" w:lineRule="auto"/>
        <w:rPr>
          <w:rFonts w:ascii="Verdana" w:hAnsi="Verdana"/>
        </w:rPr>
      </w:pPr>
      <w:r w:rsidRPr="004F5F2B">
        <w:rPr>
          <w:rFonts w:ascii="Verdana" w:hAnsi="Verdana"/>
        </w:rPr>
        <w:br w:type="page"/>
      </w:r>
    </w:p>
    <w:p w:rsidR="00FF01A8" w:rsidRPr="004F5F2B" w:rsidRDefault="00FF01A8" w:rsidP="00A40420">
      <w:pPr>
        <w:pStyle w:val="StyleHeading1Hanging085cm"/>
      </w:pPr>
      <w:bookmarkStart w:id="29" w:name="_Toc372539872"/>
      <w:bookmarkStart w:id="30" w:name="_Toc384648452"/>
      <w:r w:rsidRPr="004F5F2B">
        <w:t>Section 4. Integrated approach to territorial development</w:t>
      </w:r>
      <w:bookmarkEnd w:id="29"/>
      <w:bookmarkEnd w:id="30"/>
    </w:p>
    <w:p w:rsidR="00E73A82" w:rsidRPr="00C4514D" w:rsidRDefault="002E5CA7" w:rsidP="008B00B7">
      <w:pPr>
        <w:pStyle w:val="5"/>
        <w:spacing w:after="120"/>
        <w:rPr>
          <w:rFonts w:ascii="Verdana" w:hAnsi="Verdana"/>
          <w:bCs/>
          <w:kern w:val="36"/>
          <w:sz w:val="22"/>
          <w:szCs w:val="22"/>
        </w:rPr>
      </w:pPr>
      <w:r w:rsidRPr="00C4514D">
        <w:rPr>
          <w:rFonts w:ascii="Verdana" w:hAnsi="Verdana"/>
          <w:i w:val="0"/>
          <w:sz w:val="22"/>
          <w:szCs w:val="22"/>
        </w:rPr>
        <w:t xml:space="preserve">The urban dimension is an important strand within the wider concept of territorial development. A programme such as URBACT, which promotes integrated urban development through </w:t>
      </w:r>
      <w:r w:rsidRPr="00C4514D">
        <w:rPr>
          <w:rFonts w:ascii="Verdana" w:hAnsi="Verdana"/>
          <w:bCs/>
          <w:i w:val="0"/>
          <w:kern w:val="36"/>
          <w:sz w:val="22"/>
          <w:szCs w:val="22"/>
        </w:rPr>
        <w:t>exchange of experience and transfer of good practices between cities, can therefore play a crucial role in contributing towards the European objectives on this issue and assisting in regard to the development and operation of new European territorial initiatives and instruments e.g. integrated urban strategies under ERDF Article 7, community-led local development, the Integrated Territorial Investment tool etc.</w:t>
      </w:r>
    </w:p>
    <w:p w:rsidR="00014FF4" w:rsidRPr="00C4514D" w:rsidRDefault="002E5CA7" w:rsidP="008B00B7">
      <w:pPr>
        <w:pStyle w:val="ad"/>
        <w:spacing w:after="120" w:line="276" w:lineRule="auto"/>
        <w:jc w:val="both"/>
        <w:rPr>
          <w:rFonts w:ascii="Verdana" w:hAnsi="Verdana"/>
          <w:sz w:val="22"/>
          <w:szCs w:val="22"/>
        </w:rPr>
      </w:pPr>
      <w:r w:rsidRPr="00C4514D">
        <w:rPr>
          <w:rFonts w:ascii="Verdana" w:hAnsi="Verdana"/>
          <w:bCs/>
          <w:kern w:val="36"/>
          <w:sz w:val="22"/>
          <w:szCs w:val="22"/>
        </w:rPr>
        <w:t xml:space="preserve">URBACT will therefore seek to maximise the complementarity between its </w:t>
      </w:r>
      <w:r w:rsidR="008B00B7">
        <w:rPr>
          <w:rFonts w:ascii="Verdana" w:hAnsi="Verdana"/>
          <w:bCs/>
          <w:kern w:val="36"/>
          <w:sz w:val="22"/>
          <w:szCs w:val="22"/>
        </w:rPr>
        <w:t>a</w:t>
      </w:r>
      <w:r w:rsidRPr="00C4514D">
        <w:rPr>
          <w:rFonts w:ascii="Verdana" w:hAnsi="Verdana"/>
          <w:bCs/>
          <w:kern w:val="36"/>
          <w:sz w:val="22"/>
          <w:szCs w:val="22"/>
        </w:rPr>
        <w:t xml:space="preserve">ctivities and the wider approach to territorial development within Europe funded through the mainstream programmes. </w:t>
      </w:r>
    </w:p>
    <w:p w:rsidR="00FF01A8" w:rsidRPr="00C4514D" w:rsidRDefault="00FF01A8" w:rsidP="008B00B7">
      <w:pPr>
        <w:pStyle w:val="5"/>
        <w:spacing w:after="120"/>
        <w:rPr>
          <w:rFonts w:ascii="Verdana" w:hAnsi="Verdana"/>
          <w:color w:val="000000"/>
          <w:sz w:val="22"/>
          <w:szCs w:val="22"/>
        </w:rPr>
      </w:pPr>
      <w:r w:rsidRPr="00C4514D">
        <w:rPr>
          <w:rFonts w:ascii="Verdana" w:hAnsi="Verdana"/>
          <w:i w:val="0"/>
          <w:color w:val="000000"/>
          <w:sz w:val="22"/>
          <w:szCs w:val="22"/>
        </w:rPr>
        <w:t>Article 7</w:t>
      </w:r>
      <w:r w:rsidR="002174E0" w:rsidRPr="00C4514D">
        <w:rPr>
          <w:rStyle w:val="a5"/>
          <w:rFonts w:ascii="Verdana" w:hAnsi="Verdana"/>
          <w:i w:val="0"/>
          <w:color w:val="000000"/>
          <w:sz w:val="22"/>
          <w:szCs w:val="22"/>
        </w:rPr>
        <w:footnoteReference w:id="37"/>
      </w:r>
      <w:r w:rsidRPr="00C4514D">
        <w:rPr>
          <w:rFonts w:ascii="Verdana" w:hAnsi="Verdana"/>
          <w:i w:val="0"/>
          <w:color w:val="000000"/>
          <w:sz w:val="22"/>
          <w:szCs w:val="22"/>
        </w:rPr>
        <w:t xml:space="preserve"> </w:t>
      </w:r>
      <w:r w:rsidR="002174E0" w:rsidRPr="00C4514D">
        <w:rPr>
          <w:rFonts w:ascii="Verdana" w:hAnsi="Verdana"/>
          <w:i w:val="0"/>
          <w:color w:val="000000"/>
          <w:sz w:val="22"/>
          <w:szCs w:val="22"/>
        </w:rPr>
        <w:t xml:space="preserve">contains </w:t>
      </w:r>
      <w:r w:rsidRPr="00C4514D">
        <w:rPr>
          <w:rFonts w:ascii="Verdana" w:hAnsi="Verdana"/>
          <w:bCs/>
          <w:i w:val="0"/>
          <w:color w:val="000000"/>
          <w:sz w:val="22"/>
          <w:szCs w:val="22"/>
        </w:rPr>
        <w:t>specific provisions concerning the Investment for growth and jobs goal</w:t>
      </w:r>
      <w:r w:rsidRPr="00C4514D">
        <w:rPr>
          <w:rFonts w:ascii="Verdana" w:hAnsi="Verdana"/>
          <w:i w:val="0"/>
          <w:color w:val="000000"/>
          <w:sz w:val="22"/>
          <w:szCs w:val="22"/>
        </w:rPr>
        <w:t xml:space="preserve"> development</w:t>
      </w:r>
      <w:r w:rsidR="002174E0" w:rsidRPr="00C4514D">
        <w:rPr>
          <w:rFonts w:ascii="Verdana" w:hAnsi="Verdana"/>
          <w:i w:val="0"/>
          <w:color w:val="000000"/>
          <w:sz w:val="22"/>
          <w:szCs w:val="22"/>
        </w:rPr>
        <w:t>. It states that</w:t>
      </w:r>
      <w:r w:rsidRPr="00C4514D">
        <w:rPr>
          <w:rFonts w:ascii="Verdana" w:hAnsi="Verdana"/>
          <w:color w:val="000000"/>
          <w:sz w:val="22"/>
          <w:szCs w:val="22"/>
        </w:rPr>
        <w:t xml:space="preserve"> “ERDF shall support, within operational programmes sustainable urban development through strategies that set out integrated actions to tackle the economic, environmental, climate, demographic and social challenges affecting urban areas, while taking into account the need to promote urban</w:t>
      </w:r>
      <w:r w:rsidRPr="00C4514D">
        <w:rPr>
          <w:rFonts w:ascii="Verdana" w:hAnsi="Verdana"/>
          <w:sz w:val="22"/>
          <w:szCs w:val="22"/>
        </w:rPr>
        <w:t>-</w:t>
      </w:r>
      <w:r w:rsidR="002174E0" w:rsidRPr="00C4514D">
        <w:rPr>
          <w:rFonts w:ascii="Verdana" w:hAnsi="Verdana"/>
          <w:color w:val="000000"/>
          <w:sz w:val="22"/>
          <w:szCs w:val="22"/>
        </w:rPr>
        <w:t>rural linkages.”</w:t>
      </w:r>
    </w:p>
    <w:p w:rsidR="00FF01A8" w:rsidRPr="00C4514D" w:rsidRDefault="00FF01A8" w:rsidP="008B00B7">
      <w:pPr>
        <w:spacing w:after="120" w:line="276" w:lineRule="auto"/>
        <w:jc w:val="both"/>
        <w:rPr>
          <w:rFonts w:ascii="Verdana" w:hAnsi="Verdana"/>
          <w:color w:val="000000"/>
          <w:sz w:val="22"/>
          <w:szCs w:val="22"/>
        </w:rPr>
      </w:pPr>
      <w:r w:rsidRPr="00C4514D">
        <w:rPr>
          <w:rFonts w:ascii="Verdana" w:hAnsi="Verdana"/>
          <w:sz w:val="22"/>
          <w:szCs w:val="22"/>
        </w:rPr>
        <w:t xml:space="preserve">For URBACT III, Article 2 of the </w:t>
      </w:r>
      <w:r w:rsidRPr="00C4514D">
        <w:rPr>
          <w:rFonts w:ascii="Verdana" w:hAnsi="Verdana"/>
          <w:bCs/>
          <w:sz w:val="22"/>
          <w:szCs w:val="22"/>
        </w:rPr>
        <w:t xml:space="preserve">Regulation (EU) No 1299/2013 on specific provisions for the support from the European Regional Development Fund to the European territorial cooperation goal </w:t>
      </w:r>
      <w:r w:rsidRPr="00C4514D">
        <w:rPr>
          <w:rFonts w:ascii="Verdana" w:hAnsi="Verdana"/>
          <w:sz w:val="22"/>
          <w:szCs w:val="22"/>
        </w:rPr>
        <w:t>said that “</w:t>
      </w:r>
      <w:r w:rsidRPr="00C4514D">
        <w:rPr>
          <w:rFonts w:ascii="Verdana" w:hAnsi="Verdana"/>
          <w:color w:val="000000"/>
          <w:sz w:val="22"/>
          <w:szCs w:val="22"/>
        </w:rPr>
        <w:t>ERDF supports interregional cooperation to strengthen the effectiveness of cohesion policy in promoting the exchange of experience concerning the identification, transfer and dissemination of good practices on sustainable urban development, including urban-rural linkages."</w:t>
      </w:r>
    </w:p>
    <w:p w:rsidR="00FF01A8" w:rsidRPr="00C4514D" w:rsidRDefault="00FF01A8" w:rsidP="008B00B7">
      <w:pPr>
        <w:spacing w:after="120" w:line="276" w:lineRule="auto"/>
        <w:jc w:val="both"/>
        <w:rPr>
          <w:rFonts w:ascii="Verdana" w:eastAsia="Calibri" w:hAnsi="Verdana"/>
          <w:color w:val="000000"/>
          <w:sz w:val="22"/>
          <w:szCs w:val="22"/>
        </w:rPr>
      </w:pPr>
      <w:r w:rsidRPr="00C4514D">
        <w:rPr>
          <w:rFonts w:ascii="Verdana" w:hAnsi="Verdana"/>
          <w:sz w:val="22"/>
          <w:szCs w:val="22"/>
        </w:rPr>
        <w:t xml:space="preserve">Therefore the promotion of integrated urban development through </w:t>
      </w:r>
      <w:r w:rsidRPr="00C4514D">
        <w:rPr>
          <w:rFonts w:ascii="Verdana" w:hAnsi="Verdana" w:cs="Arial"/>
          <w:bCs/>
          <w:kern w:val="36"/>
          <w:sz w:val="22"/>
          <w:szCs w:val="22"/>
        </w:rPr>
        <w:t xml:space="preserve">exchange of experience and transfer of good practices between cities is essential in the strategy of the programme. </w:t>
      </w:r>
      <w:r w:rsidRPr="00C4514D">
        <w:rPr>
          <w:rFonts w:ascii="Verdana" w:eastAsia="Calibri" w:hAnsi="Verdana"/>
          <w:color w:val="000000"/>
          <w:sz w:val="22"/>
          <w:szCs w:val="22"/>
        </w:rPr>
        <w:t xml:space="preserve">As described in the Section 1, </w:t>
      </w:r>
      <w:r w:rsidRPr="00C4514D">
        <w:rPr>
          <w:rFonts w:ascii="Verdana" w:hAnsi="Verdana"/>
          <w:sz w:val="22"/>
          <w:szCs w:val="22"/>
        </w:rPr>
        <w:t>integrated urban development is a prerequisite for a sustainable city</w:t>
      </w:r>
      <w:r w:rsidRPr="00C4514D">
        <w:rPr>
          <w:rFonts w:ascii="Verdana" w:eastAsia="Calibri" w:hAnsi="Verdana"/>
          <w:color w:val="000000"/>
          <w:sz w:val="22"/>
          <w:szCs w:val="22"/>
        </w:rPr>
        <w:t>; cities need integrated approaches for their territorial development.</w:t>
      </w:r>
    </w:p>
    <w:p w:rsidR="00DB3BD4" w:rsidRPr="00C4514D" w:rsidRDefault="00FF01A8" w:rsidP="008B00B7">
      <w:pPr>
        <w:spacing w:after="120" w:line="276" w:lineRule="auto"/>
        <w:jc w:val="both"/>
        <w:rPr>
          <w:rFonts w:ascii="Verdana" w:eastAsia="Calibri" w:hAnsi="Verdana"/>
          <w:color w:val="000000"/>
          <w:sz w:val="22"/>
          <w:szCs w:val="22"/>
        </w:rPr>
      </w:pPr>
      <w:r w:rsidRPr="00C4514D">
        <w:rPr>
          <w:rFonts w:ascii="Verdana" w:eastAsia="Calibri" w:hAnsi="Verdana"/>
          <w:color w:val="000000"/>
          <w:sz w:val="22"/>
          <w:szCs w:val="22"/>
        </w:rPr>
        <w:t>A main contribution of the programme lies in the support given to cities to find ways of developing with the local actors integrated policies which meet their particular circumstances. The programme aims to increase the capacities and know-how of cities on integrated urban development; this apply also to tools of the cohesion policy proposed by the mainstream programmes for integrated urban development: Community Led Local Development and Integrated Territorial Investments</w:t>
      </w:r>
      <w:r w:rsidR="00E85D71" w:rsidRPr="00C4514D">
        <w:rPr>
          <w:rFonts w:ascii="Verdana" w:eastAsia="Calibri" w:hAnsi="Verdana"/>
          <w:color w:val="000000"/>
          <w:sz w:val="22"/>
          <w:szCs w:val="22"/>
        </w:rPr>
        <w:t xml:space="preserve">.  </w:t>
      </w:r>
    </w:p>
    <w:p w:rsidR="00FF01A8" w:rsidRPr="00C4514D" w:rsidRDefault="00E85D71" w:rsidP="008B00B7">
      <w:pPr>
        <w:spacing w:after="120" w:line="276" w:lineRule="auto"/>
        <w:jc w:val="both"/>
        <w:rPr>
          <w:rFonts w:ascii="Verdana" w:eastAsia="Calibri" w:hAnsi="Verdana"/>
          <w:color w:val="000000"/>
          <w:sz w:val="22"/>
          <w:szCs w:val="22"/>
        </w:rPr>
      </w:pPr>
      <w:r w:rsidRPr="00C4514D">
        <w:rPr>
          <w:rFonts w:ascii="Verdana" w:eastAsia="Calibri" w:hAnsi="Verdana"/>
          <w:color w:val="000000"/>
          <w:sz w:val="22"/>
          <w:szCs w:val="22"/>
        </w:rPr>
        <w:t>Specifically this will be related to three aspects of achieving integrated urban development:</w:t>
      </w:r>
    </w:p>
    <w:p w:rsidR="00E73A82" w:rsidRPr="00C4514D" w:rsidRDefault="00E85D71" w:rsidP="00D67ECF">
      <w:pPr>
        <w:numPr>
          <w:ilvl w:val="0"/>
          <w:numId w:val="43"/>
        </w:numPr>
        <w:spacing w:after="120" w:line="276" w:lineRule="auto"/>
        <w:ind w:left="714" w:hanging="357"/>
        <w:jc w:val="both"/>
        <w:rPr>
          <w:rFonts w:ascii="Verdana" w:eastAsia="Calibri" w:hAnsi="Verdana"/>
          <w:color w:val="000000"/>
          <w:sz w:val="22"/>
          <w:szCs w:val="22"/>
        </w:rPr>
      </w:pPr>
      <w:r w:rsidRPr="00C4514D">
        <w:rPr>
          <w:rFonts w:ascii="Verdana" w:eastAsia="Calibri" w:hAnsi="Verdana"/>
          <w:color w:val="000000"/>
          <w:sz w:val="22"/>
          <w:szCs w:val="22"/>
        </w:rPr>
        <w:t>Encouraging participants to work horizontally across different policy sectors, rather than looking at an issue solely from the perspective of one department or discipline</w:t>
      </w:r>
    </w:p>
    <w:p w:rsidR="00E73A82" w:rsidRPr="00C4514D" w:rsidRDefault="00E85D71" w:rsidP="00D67ECF">
      <w:pPr>
        <w:numPr>
          <w:ilvl w:val="0"/>
          <w:numId w:val="43"/>
        </w:numPr>
        <w:spacing w:after="120" w:line="276" w:lineRule="auto"/>
        <w:ind w:left="714" w:hanging="357"/>
        <w:jc w:val="both"/>
        <w:rPr>
          <w:rFonts w:ascii="Verdana" w:eastAsia="Calibri" w:hAnsi="Verdana"/>
          <w:color w:val="000000"/>
          <w:sz w:val="22"/>
          <w:szCs w:val="22"/>
        </w:rPr>
      </w:pPr>
      <w:r w:rsidRPr="00C4514D">
        <w:rPr>
          <w:rFonts w:ascii="Verdana" w:eastAsia="Calibri" w:hAnsi="Verdana"/>
          <w:color w:val="000000"/>
          <w:sz w:val="22"/>
          <w:szCs w:val="22"/>
        </w:rPr>
        <w:t>Encouraging vertical integration by working with different levels of government (e.g. counties, provinces, regions and member states).</w:t>
      </w:r>
    </w:p>
    <w:p w:rsidR="00E73A82" w:rsidRPr="00C4514D" w:rsidRDefault="00E85D71" w:rsidP="00D67ECF">
      <w:pPr>
        <w:numPr>
          <w:ilvl w:val="0"/>
          <w:numId w:val="43"/>
        </w:numPr>
        <w:spacing w:after="120" w:line="276" w:lineRule="auto"/>
        <w:ind w:left="714" w:hanging="357"/>
        <w:jc w:val="both"/>
        <w:rPr>
          <w:rFonts w:ascii="Verdana" w:eastAsia="Calibri" w:hAnsi="Verdana"/>
          <w:color w:val="000000"/>
          <w:sz w:val="22"/>
          <w:szCs w:val="22"/>
        </w:rPr>
      </w:pPr>
      <w:r w:rsidRPr="00C4514D">
        <w:rPr>
          <w:rFonts w:ascii="Verdana" w:eastAsia="Calibri" w:hAnsi="Verdana"/>
          <w:color w:val="000000"/>
          <w:sz w:val="22"/>
          <w:szCs w:val="22"/>
        </w:rPr>
        <w:t xml:space="preserve">Encouraging active engagement of a wide range of stakeholder and citizen groups in identifying both problems and solutions and in the implementation of action plans. </w:t>
      </w:r>
    </w:p>
    <w:p w:rsidR="00FF01A8" w:rsidRPr="00C4514D" w:rsidRDefault="00FF01A8" w:rsidP="008B00B7">
      <w:pPr>
        <w:spacing w:after="120" w:line="276" w:lineRule="auto"/>
        <w:jc w:val="both"/>
        <w:rPr>
          <w:rFonts w:ascii="Verdana" w:eastAsia="Calibri" w:hAnsi="Verdana"/>
          <w:color w:val="000000"/>
          <w:sz w:val="22"/>
          <w:szCs w:val="22"/>
        </w:rPr>
      </w:pPr>
    </w:p>
    <w:p w:rsidR="00040577" w:rsidRDefault="007B5752" w:rsidP="008B00B7">
      <w:pPr>
        <w:pStyle w:val="2"/>
        <w:spacing w:after="120" w:line="276" w:lineRule="auto"/>
      </w:pPr>
      <w:bookmarkStart w:id="31" w:name="_Toc384648453"/>
      <w:r>
        <w:t>4.1.</w:t>
      </w:r>
      <w:r>
        <w:tab/>
      </w:r>
      <w:r w:rsidR="00FF01A8" w:rsidRPr="004F5F2B">
        <w:t xml:space="preserve">The URBACT approach to community-led local development </w:t>
      </w:r>
    </w:p>
    <w:p w:rsidR="00FF01A8" w:rsidRPr="004F5F2B" w:rsidRDefault="00FF01A8" w:rsidP="008B00B7">
      <w:pPr>
        <w:spacing w:after="120" w:line="276" w:lineRule="auto"/>
      </w:pPr>
      <w:r w:rsidRPr="004F5F2B">
        <w:rPr>
          <w:b/>
        </w:rPr>
        <w:t>(</w:t>
      </w:r>
      <w:r w:rsidRPr="004F5F2B">
        <w:rPr>
          <w:rStyle w:val="a5"/>
          <w:b/>
          <w:color w:val="000000"/>
        </w:rPr>
        <w:footnoteReference w:id="38"/>
      </w:r>
      <w:r w:rsidRPr="004F5F2B">
        <w:rPr>
          <w:b/>
        </w:rPr>
        <w:t>)</w:t>
      </w:r>
      <w:bookmarkEnd w:id="31"/>
    </w:p>
    <w:p w:rsidR="00E73A82" w:rsidRPr="00C4514D" w:rsidRDefault="002E5CA7" w:rsidP="008B00B7">
      <w:pPr>
        <w:spacing w:after="120" w:line="276" w:lineRule="auto"/>
        <w:jc w:val="both"/>
        <w:rPr>
          <w:rFonts w:ascii="Verdana" w:hAnsi="Verdana"/>
          <w:sz w:val="22"/>
          <w:szCs w:val="22"/>
          <w:lang w:eastAsia="en-GB"/>
        </w:rPr>
      </w:pPr>
      <w:r w:rsidRPr="00C4514D">
        <w:rPr>
          <w:rFonts w:ascii="Verdana" w:hAnsi="Verdana"/>
          <w:sz w:val="22"/>
          <w:szCs w:val="22"/>
        </w:rPr>
        <w:t xml:space="preserve">Community-led local development (CLLD) is a method for involving partners at the local level including the civil society and local economic actors in designing and implementing local integrated strategies. </w:t>
      </w:r>
      <w:r w:rsidRPr="00C4514D">
        <w:rPr>
          <w:rFonts w:ascii="Verdana" w:hAnsi="Verdana"/>
          <w:sz w:val="22"/>
          <w:szCs w:val="22"/>
          <w:lang w:eastAsia="en-GB"/>
        </w:rPr>
        <w:t xml:space="preserve">CLLD complements traditional top-down approaches and with </w:t>
      </w:r>
      <w:r w:rsidRPr="00C4514D">
        <w:rPr>
          <w:rFonts w:ascii="Verdana" w:hAnsi="Verdana"/>
          <w:sz w:val="22"/>
          <w:szCs w:val="22"/>
        </w:rPr>
        <w:t xml:space="preserve">relatively small financial investments can generate new ideas and a shared commitment for putting ideas into practice. As a method </w:t>
      </w:r>
      <w:r w:rsidRPr="00C4514D">
        <w:rPr>
          <w:rFonts w:ascii="Verdana" w:hAnsi="Verdana"/>
          <w:sz w:val="22"/>
          <w:szCs w:val="22"/>
          <w:lang w:eastAsia="en-GB"/>
        </w:rPr>
        <w:t xml:space="preserve">CLLD builds on the LEADER approach designed to help rural actors consider the long-term potential of their local region. In the past this participative and bottom-up delivery method has been implemented through URBAN (ERDF) and EQUAL (ESF) Community Initiatives. Currently local development is a policy delivery tool also in the European fisheries sector.  The current CLLD initiative for 2014-2020 is supported by all the above-mentioned EU Funds.  </w:t>
      </w:r>
    </w:p>
    <w:p w:rsidR="00A95319" w:rsidRPr="00C4514D" w:rsidRDefault="002E5CA7" w:rsidP="008B00B7">
      <w:pPr>
        <w:spacing w:after="120" w:line="276" w:lineRule="auto"/>
        <w:jc w:val="both"/>
        <w:rPr>
          <w:rFonts w:ascii="Verdana" w:hAnsi="Verdana"/>
          <w:sz w:val="22"/>
          <w:szCs w:val="22"/>
        </w:rPr>
      </w:pPr>
      <w:r w:rsidRPr="00C4514D">
        <w:rPr>
          <w:rFonts w:ascii="Verdana" w:hAnsi="Verdana"/>
          <w:sz w:val="22"/>
          <w:szCs w:val="22"/>
        </w:rPr>
        <w:t xml:space="preserve">The </w:t>
      </w:r>
      <w:r w:rsidRPr="00C4514D">
        <w:rPr>
          <w:rFonts w:ascii="Verdana" w:hAnsi="Verdana"/>
          <w:color w:val="000000"/>
          <w:sz w:val="22"/>
          <w:szCs w:val="22"/>
        </w:rPr>
        <w:t xml:space="preserve">URBACT II programme carried on from the URBAN initiative in fostering participative approaches as a core principle for policy-making. </w:t>
      </w:r>
      <w:r w:rsidRPr="00C4514D">
        <w:rPr>
          <w:rFonts w:ascii="Verdana" w:hAnsi="Verdana"/>
          <w:sz w:val="22"/>
          <w:szCs w:val="22"/>
        </w:rPr>
        <w:t xml:space="preserve">The programme required that all URBACT partner cities engaging in action planning, transfer or implementation networks had to involve multi-stakeholder partnerships, Local Support Groups (ULSG). The Local Support Groups for implementation networks focused on improving the delivery of action plans while the receiving cities in transfer networks worked to integrate a policy or practice into their city. </w:t>
      </w:r>
    </w:p>
    <w:p w:rsidR="00A95319" w:rsidRPr="00C4514D" w:rsidRDefault="002E5CA7" w:rsidP="008B00B7">
      <w:pPr>
        <w:spacing w:after="120" w:line="276" w:lineRule="auto"/>
        <w:jc w:val="both"/>
        <w:rPr>
          <w:rFonts w:ascii="Verdana" w:hAnsi="Verdana"/>
          <w:sz w:val="22"/>
          <w:szCs w:val="22"/>
        </w:rPr>
      </w:pPr>
      <w:r w:rsidRPr="00C4514D">
        <w:rPr>
          <w:rFonts w:ascii="Verdana" w:hAnsi="Verdana"/>
          <w:sz w:val="22"/>
          <w:szCs w:val="22"/>
        </w:rPr>
        <w:t>When the respective Partnership Agreements and Operational Programmes for 2014-2020 allow</w:t>
      </w:r>
      <w:r w:rsidR="00DB3BD4" w:rsidRPr="00C4514D">
        <w:rPr>
          <w:rFonts w:ascii="Verdana" w:hAnsi="Verdana"/>
          <w:sz w:val="22"/>
          <w:szCs w:val="22"/>
        </w:rPr>
        <w:t>s</w:t>
      </w:r>
      <w:r w:rsidRPr="00C4514D">
        <w:rPr>
          <w:rFonts w:ascii="Verdana" w:hAnsi="Verdana"/>
          <w:sz w:val="22"/>
          <w:szCs w:val="22"/>
        </w:rPr>
        <w:t>, the Regional Development Fund (ERDF) can support local action groups (LAGs) and their strategies under the CLLD method also in urban areas, complementing the current partnerships of the URBACT community. CLLD may take a number of specific forms in city partnerships and strategies, including small neighbourhood based approaches (deprived areas, industrial districts, brownfield sites, suburban areas, etc.), smaller cities (market towns and their surrounding rural areas, etc.), thematic approaches dealing with a particular urban challenge, target group approaches (young people, Roma, women or migrants., etc.). It should be understood that CLLD goes beyond usual participative and consultation processes, i.e. “neither the public sector nor any single interest group”- shall represent more than 49 % of the voting rights.</w:t>
      </w:r>
    </w:p>
    <w:p w:rsidR="00A95319" w:rsidRPr="00C4514D" w:rsidRDefault="002E5CA7" w:rsidP="008B00B7">
      <w:pPr>
        <w:spacing w:after="120" w:line="276" w:lineRule="auto"/>
        <w:jc w:val="both"/>
        <w:rPr>
          <w:rFonts w:ascii="Verdana" w:hAnsi="Verdana"/>
          <w:sz w:val="22"/>
          <w:szCs w:val="22"/>
        </w:rPr>
      </w:pPr>
      <w:r w:rsidRPr="00C4514D">
        <w:rPr>
          <w:rFonts w:ascii="Verdana" w:hAnsi="Verdana"/>
          <w:sz w:val="22"/>
          <w:szCs w:val="22"/>
        </w:rPr>
        <w:t>Based on the experience of the previous programming period, URBACT III can contribute through</w:t>
      </w:r>
      <w:r w:rsidRPr="00C4514D">
        <w:rPr>
          <w:rFonts w:ascii="Verdana" w:hAnsi="Verdana"/>
          <w:color w:val="000000"/>
          <w:sz w:val="22"/>
          <w:szCs w:val="22"/>
        </w:rPr>
        <w:t xml:space="preserve"> its exchange, capacity building and capitalisation activities to anchor the CLLD</w:t>
      </w:r>
      <w:r w:rsidRPr="00C4514D">
        <w:rPr>
          <w:rFonts w:ascii="Verdana" w:hAnsi="Verdana"/>
          <w:sz w:val="22"/>
          <w:szCs w:val="22"/>
        </w:rPr>
        <w:t xml:space="preserve"> approach in cities. </w:t>
      </w:r>
    </w:p>
    <w:p w:rsidR="00A95319" w:rsidRPr="00C4514D" w:rsidRDefault="002E5CA7" w:rsidP="00D67ECF">
      <w:pPr>
        <w:pStyle w:val="afd"/>
        <w:numPr>
          <w:ilvl w:val="0"/>
          <w:numId w:val="44"/>
        </w:numPr>
        <w:spacing w:after="120"/>
        <w:jc w:val="both"/>
        <w:rPr>
          <w:rFonts w:ascii="Verdana" w:hAnsi="Verdana"/>
        </w:rPr>
      </w:pPr>
      <w:r w:rsidRPr="00C4514D">
        <w:rPr>
          <w:rFonts w:ascii="Verdana" w:hAnsi="Verdana"/>
        </w:rPr>
        <w:t>Exchange activities between cities and/or urban rural partnerships engaged in delivering CLLD approaches will foster policy learning and accelerate the transfer and implementation of good practices</w:t>
      </w:r>
    </w:p>
    <w:p w:rsidR="00A95319" w:rsidRPr="00C4514D" w:rsidRDefault="002E5CA7" w:rsidP="00D67ECF">
      <w:pPr>
        <w:pStyle w:val="afd"/>
        <w:numPr>
          <w:ilvl w:val="0"/>
          <w:numId w:val="44"/>
        </w:numPr>
        <w:spacing w:after="120"/>
        <w:jc w:val="both"/>
        <w:rPr>
          <w:rFonts w:ascii="Verdana" w:hAnsi="Verdana"/>
        </w:rPr>
      </w:pPr>
      <w:r w:rsidRPr="00C4514D">
        <w:rPr>
          <w:rFonts w:ascii="Verdana" w:hAnsi="Verdana"/>
        </w:rPr>
        <w:t xml:space="preserve">Capacity building activities for the same cities will help stakeholders involved in local support groups whether from public and private sector or civil society to improve their understanding and management of CLLD processes as well as enhancing capacity to innovate.  </w:t>
      </w:r>
    </w:p>
    <w:p w:rsidR="00A95319" w:rsidRPr="00C4514D" w:rsidRDefault="002E5CA7" w:rsidP="00D67ECF">
      <w:pPr>
        <w:pStyle w:val="afd"/>
        <w:numPr>
          <w:ilvl w:val="0"/>
          <w:numId w:val="44"/>
        </w:numPr>
        <w:spacing w:after="120"/>
        <w:jc w:val="both"/>
        <w:rPr>
          <w:rFonts w:ascii="Verdana" w:hAnsi="Verdana"/>
        </w:rPr>
      </w:pPr>
      <w:r w:rsidRPr="00C4514D">
        <w:rPr>
          <w:rFonts w:ascii="Verdana" w:hAnsi="Verdana"/>
        </w:rPr>
        <w:t xml:space="preserve">Capitalisation activities can help to disseminate experience on CLLD from a smaller grouping of cities that are actively involved in URBACT networks to the wider urban community of city practitioners and associated stakeholders. </w:t>
      </w:r>
    </w:p>
    <w:p w:rsidR="00DB3BD4" w:rsidRPr="00C4514D" w:rsidRDefault="002E5CA7" w:rsidP="008B00B7">
      <w:pPr>
        <w:spacing w:after="120" w:line="276" w:lineRule="auto"/>
        <w:jc w:val="both"/>
        <w:rPr>
          <w:rFonts w:ascii="Verdana" w:hAnsi="Verdana" w:cs="Calibri"/>
          <w:sz w:val="22"/>
          <w:szCs w:val="22"/>
        </w:rPr>
      </w:pPr>
      <w:r w:rsidRPr="00C4514D">
        <w:rPr>
          <w:rFonts w:ascii="Verdana" w:hAnsi="Verdana"/>
          <w:sz w:val="22"/>
          <w:szCs w:val="22"/>
        </w:rPr>
        <w:t xml:space="preserve">It should be recognized that only some of the URBACT local support groups are appropriate as such for the CLLD approach.  This depends on the type of area selected for the URBACT network (for example if it were a whole city this might not be appropriate for CLLD) in the city in question, whether or not this approach is supported under the relevant programme and whether the thematic topic is relevant to a community based approach. </w:t>
      </w:r>
    </w:p>
    <w:p w:rsidR="00FF01A8" w:rsidRPr="00C4514D" w:rsidRDefault="00FF01A8" w:rsidP="008B00B7">
      <w:pPr>
        <w:spacing w:after="120" w:line="276" w:lineRule="auto"/>
        <w:jc w:val="both"/>
        <w:rPr>
          <w:rFonts w:ascii="Verdana" w:hAnsi="Verdana" w:cs="Calibri"/>
          <w:sz w:val="22"/>
          <w:szCs w:val="22"/>
        </w:rPr>
      </w:pPr>
    </w:p>
    <w:p w:rsidR="00FF01A8" w:rsidRPr="004F5F2B" w:rsidRDefault="007B5752" w:rsidP="008B00B7">
      <w:pPr>
        <w:pStyle w:val="2"/>
        <w:spacing w:after="120" w:line="276" w:lineRule="auto"/>
      </w:pPr>
      <w:bookmarkStart w:id="32" w:name="_Toc384648454"/>
      <w:r>
        <w:t>4.2.</w:t>
      </w:r>
      <w:r>
        <w:tab/>
      </w:r>
      <w:r w:rsidR="00FF01A8" w:rsidRPr="004F5F2B">
        <w:t>The URBACT approach to integrated actions for sustainable development</w:t>
      </w:r>
      <w:bookmarkEnd w:id="32"/>
    </w:p>
    <w:p w:rsidR="008B00B7" w:rsidRDefault="008B00B7" w:rsidP="008B00B7">
      <w:pPr>
        <w:spacing w:after="120" w:line="276" w:lineRule="auto"/>
        <w:jc w:val="both"/>
        <w:rPr>
          <w:rFonts w:ascii="Verdana" w:hAnsi="Verdana"/>
          <w:sz w:val="22"/>
          <w:szCs w:val="22"/>
          <w:lang w:eastAsia="ja-JP"/>
        </w:rPr>
      </w:pPr>
    </w:p>
    <w:p w:rsidR="00101CFD" w:rsidRPr="00C4514D" w:rsidRDefault="002E5CA7" w:rsidP="008B00B7">
      <w:pPr>
        <w:spacing w:after="120" w:line="276" w:lineRule="auto"/>
        <w:jc w:val="both"/>
        <w:rPr>
          <w:rFonts w:ascii="Verdana" w:hAnsi="Verdana"/>
          <w:sz w:val="22"/>
          <w:szCs w:val="22"/>
          <w:lang w:eastAsia="ja-JP"/>
        </w:rPr>
      </w:pPr>
      <w:r w:rsidRPr="00C4514D">
        <w:rPr>
          <w:rFonts w:ascii="Verdana" w:hAnsi="Verdana"/>
          <w:sz w:val="22"/>
          <w:szCs w:val="22"/>
          <w:lang w:eastAsia="ja-JP"/>
        </w:rPr>
        <w:t xml:space="preserve">As the entire URBACT programme is dedicated to the issue of integrated sustainable urban development, we will ensure maximum complementarity with the European Commission's specific initiatives in this area. </w:t>
      </w:r>
    </w:p>
    <w:p w:rsidR="00A95319" w:rsidRPr="00C4514D" w:rsidRDefault="002E5CA7" w:rsidP="008B00B7">
      <w:pPr>
        <w:spacing w:after="120" w:line="276" w:lineRule="auto"/>
        <w:jc w:val="both"/>
        <w:rPr>
          <w:rFonts w:ascii="Verdana" w:hAnsi="Verdana"/>
          <w:sz w:val="22"/>
          <w:szCs w:val="22"/>
          <w:lang w:eastAsia="ja-JP"/>
        </w:rPr>
      </w:pPr>
      <w:r w:rsidRPr="00C4514D">
        <w:rPr>
          <w:rFonts w:ascii="Verdana" w:hAnsi="Verdana"/>
          <w:sz w:val="22"/>
          <w:szCs w:val="22"/>
          <w:lang w:eastAsia="ja-JP"/>
        </w:rPr>
        <w:t xml:space="preserve">In the 2014-2020 programming period, a key part of the more ambitious urban dimension of cohesion policy is taken forward through </w:t>
      </w:r>
      <w:r w:rsidRPr="00C4514D">
        <w:rPr>
          <w:rFonts w:ascii="Verdana" w:eastAsia="MS PGothic" w:hAnsi="Verdana"/>
          <w:kern w:val="24"/>
          <w:sz w:val="22"/>
          <w:szCs w:val="22"/>
          <w:lang w:eastAsia="en-GB"/>
        </w:rPr>
        <w:t xml:space="preserve">ERDF Article 7, which states that  </w:t>
      </w:r>
      <w:r w:rsidRPr="00C4514D">
        <w:rPr>
          <w:rFonts w:ascii="Verdana" w:hAnsi="Verdana"/>
          <w:sz w:val="22"/>
          <w:szCs w:val="22"/>
          <w:lang w:eastAsia="ja-JP"/>
        </w:rPr>
        <w:t xml:space="preserve">a minimum of 5% of ERDF resources per Member State must be allocated for 'integrated actions for sustainable urban development', with a degree of delegation to the urban authority level. The minimum level of delegation is related to the selection of operations. This minimum 5% can be spent through an Integrated Territorial Investment, a specific OP or a specific Priority Axis. In addition, ERDF Article 8 sets aside EUR 330 million to support </w:t>
      </w:r>
      <w:r w:rsidRPr="00C4514D">
        <w:rPr>
          <w:rFonts w:ascii="Verdana" w:eastAsia="MS Mincho" w:hAnsi="Verdana"/>
          <w:i/>
          <w:sz w:val="22"/>
          <w:szCs w:val="22"/>
          <w:lang w:eastAsia="ja-JP"/>
        </w:rPr>
        <w:t>Innovative Actions in the field of sustainable urban development</w:t>
      </w:r>
      <w:r w:rsidRPr="00C4514D">
        <w:rPr>
          <w:rFonts w:ascii="Verdana" w:eastAsia="MS Mincho" w:hAnsi="Verdana"/>
          <w:sz w:val="22"/>
          <w:szCs w:val="22"/>
          <w:lang w:eastAsia="ja-JP"/>
        </w:rPr>
        <w:t xml:space="preserve"> which aim to explore and demonstrate new </w:t>
      </w:r>
      <w:r w:rsidRPr="00C4514D">
        <w:rPr>
          <w:rFonts w:ascii="Verdana" w:hAnsi="Verdana"/>
          <w:sz w:val="22"/>
          <w:szCs w:val="22"/>
        </w:rPr>
        <w:t xml:space="preserve">solutions to long-term urban challenges. </w:t>
      </w:r>
    </w:p>
    <w:p w:rsidR="00A95319" w:rsidRPr="00C4514D" w:rsidRDefault="002E5CA7" w:rsidP="008B00B7">
      <w:pPr>
        <w:spacing w:after="120" w:line="276" w:lineRule="auto"/>
        <w:jc w:val="both"/>
        <w:rPr>
          <w:rFonts w:ascii="Verdana" w:hAnsi="Verdana"/>
          <w:sz w:val="22"/>
          <w:szCs w:val="22"/>
          <w:lang w:eastAsia="ja-JP"/>
        </w:rPr>
      </w:pPr>
      <w:r w:rsidRPr="00C4514D">
        <w:rPr>
          <w:rFonts w:ascii="Verdana" w:hAnsi="Verdana"/>
          <w:sz w:val="22"/>
          <w:szCs w:val="22"/>
          <w:lang w:eastAsia="ja-JP"/>
        </w:rPr>
        <w:t>Given the extent of URBACT experience in integrated sustainable urban development, innovative approaches, and our focus on the creation and implementation of urban strategies, the opportunities offered by ERDF Article 7 and 8 will allow URBACT the possibility to increase the links and complementarities between the work of the programme and the mainstream ERDF programmes.</w:t>
      </w:r>
    </w:p>
    <w:p w:rsidR="00A95319" w:rsidRPr="00C4514D" w:rsidRDefault="002E5CA7" w:rsidP="008B00B7">
      <w:pPr>
        <w:spacing w:after="120" w:line="276" w:lineRule="auto"/>
        <w:jc w:val="both"/>
        <w:rPr>
          <w:rFonts w:ascii="Verdana" w:hAnsi="Verdana"/>
          <w:sz w:val="22"/>
          <w:szCs w:val="22"/>
          <w:lang w:eastAsia="ja-JP"/>
        </w:rPr>
      </w:pPr>
      <w:r w:rsidRPr="00C4514D">
        <w:rPr>
          <w:rFonts w:ascii="Verdana" w:hAnsi="Verdana"/>
          <w:sz w:val="22"/>
          <w:szCs w:val="22"/>
          <w:lang w:eastAsia="ja-JP"/>
        </w:rPr>
        <w:t xml:space="preserve">As such, </w:t>
      </w:r>
      <w:r w:rsidRPr="00C4514D">
        <w:rPr>
          <w:rFonts w:ascii="Verdana" w:eastAsia="Calibri" w:hAnsi="Verdana"/>
          <w:sz w:val="22"/>
          <w:szCs w:val="22"/>
        </w:rPr>
        <w:t>URBACT III, through</w:t>
      </w:r>
      <w:r w:rsidRPr="00C4514D">
        <w:rPr>
          <w:rFonts w:ascii="Verdana" w:eastAsia="Calibri" w:hAnsi="Verdana"/>
          <w:color w:val="000000"/>
          <w:sz w:val="22"/>
          <w:szCs w:val="22"/>
        </w:rPr>
        <w:t xml:space="preserve"> its exchange, capacity building and capitalisation activities </w:t>
      </w:r>
      <w:r w:rsidRPr="00C4514D">
        <w:rPr>
          <w:rFonts w:ascii="Verdana" w:hAnsi="Verdana"/>
          <w:sz w:val="22"/>
          <w:szCs w:val="22"/>
          <w:lang w:eastAsia="ja-JP"/>
        </w:rPr>
        <w:t>shall seek to:</w:t>
      </w:r>
    </w:p>
    <w:p w:rsidR="00A95319" w:rsidRPr="00C4514D" w:rsidRDefault="002E5CA7" w:rsidP="00D67ECF">
      <w:pPr>
        <w:pStyle w:val="afd"/>
        <w:numPr>
          <w:ilvl w:val="0"/>
          <w:numId w:val="45"/>
        </w:numPr>
        <w:spacing w:after="120"/>
        <w:ind w:left="714" w:hanging="357"/>
        <w:jc w:val="both"/>
        <w:rPr>
          <w:rFonts w:ascii="Verdana" w:hAnsi="Verdana"/>
          <w:lang w:eastAsia="ja-JP"/>
        </w:rPr>
      </w:pPr>
      <w:r w:rsidRPr="00C4514D">
        <w:rPr>
          <w:rFonts w:ascii="Verdana" w:hAnsi="Verdana"/>
          <w:lang w:eastAsia="ja-JP"/>
        </w:rPr>
        <w:t>scale up the activities of those cities receiving funding under ERDF Article 7/8 and disseminate their experiences to a wider group of cities;</w:t>
      </w:r>
    </w:p>
    <w:p w:rsidR="00EE0B26" w:rsidRPr="00C4514D" w:rsidRDefault="002E5CA7" w:rsidP="00D67ECF">
      <w:pPr>
        <w:pStyle w:val="afd"/>
        <w:numPr>
          <w:ilvl w:val="0"/>
          <w:numId w:val="45"/>
        </w:numPr>
        <w:spacing w:after="120"/>
        <w:ind w:left="714" w:hanging="357"/>
        <w:jc w:val="both"/>
        <w:rPr>
          <w:rFonts w:ascii="Verdana" w:hAnsi="Verdana"/>
          <w:lang w:eastAsia="ja-JP"/>
        </w:rPr>
      </w:pPr>
      <w:r w:rsidRPr="00C4514D">
        <w:rPr>
          <w:rFonts w:ascii="Verdana" w:hAnsi="Verdana"/>
        </w:rPr>
        <w:t>perform exchange activities between urban authorities receiving funding under ERDF Article 7/8 in order to foster policy learning and accelerate the transfer and implementation of good practices</w:t>
      </w:r>
    </w:p>
    <w:p w:rsidR="00FF01A8" w:rsidRPr="00C4514D" w:rsidRDefault="002E5CA7" w:rsidP="00D67ECF">
      <w:pPr>
        <w:pStyle w:val="afd"/>
        <w:numPr>
          <w:ilvl w:val="0"/>
          <w:numId w:val="45"/>
        </w:numPr>
        <w:spacing w:after="120"/>
        <w:ind w:left="714" w:hanging="357"/>
        <w:jc w:val="both"/>
        <w:rPr>
          <w:rFonts w:ascii="Verdana" w:hAnsi="Verdana"/>
          <w:lang w:eastAsia="ja-JP"/>
        </w:rPr>
      </w:pPr>
      <w:r w:rsidRPr="00C4514D">
        <w:rPr>
          <w:rFonts w:ascii="Verdana" w:hAnsi="Verdana"/>
          <w:lang w:eastAsia="ja-JP"/>
        </w:rPr>
        <w:t>participate in the Urban Development Network (to which cities receiving funding under ERDF Article 7</w:t>
      </w:r>
      <w:r w:rsidR="000C235B" w:rsidRPr="00C4514D">
        <w:rPr>
          <w:rFonts w:ascii="Verdana" w:hAnsi="Verdana"/>
          <w:lang w:eastAsia="ja-JP"/>
        </w:rPr>
        <w:t xml:space="preserve"> and 8 are</w:t>
      </w:r>
      <w:r w:rsidRPr="00C4514D">
        <w:rPr>
          <w:rFonts w:ascii="Verdana" w:hAnsi="Verdana"/>
          <w:lang w:eastAsia="ja-JP"/>
        </w:rPr>
        <w:t xml:space="preserve"> eligible) in order to provide those cities with the benefit of the knowledge being generated as a result of other URBACT activities.</w:t>
      </w:r>
    </w:p>
    <w:p w:rsidR="00EE0B26" w:rsidRPr="00C4514D" w:rsidRDefault="00EE0B26" w:rsidP="008B00B7">
      <w:pPr>
        <w:spacing w:after="120" w:line="276" w:lineRule="auto"/>
        <w:jc w:val="both"/>
        <w:rPr>
          <w:rFonts w:ascii="Verdana" w:hAnsi="Verdana" w:cs="Calibri"/>
          <w:sz w:val="22"/>
          <w:szCs w:val="22"/>
        </w:rPr>
      </w:pPr>
    </w:p>
    <w:p w:rsidR="00FF01A8" w:rsidRPr="004F5F2B" w:rsidRDefault="007B5752" w:rsidP="008B00B7">
      <w:pPr>
        <w:pStyle w:val="2"/>
        <w:spacing w:after="120" w:line="276" w:lineRule="auto"/>
        <w:rPr>
          <w:b w:val="0"/>
        </w:rPr>
      </w:pPr>
      <w:bookmarkStart w:id="33" w:name="_Toc384648455"/>
      <w:r>
        <w:t>4.3.</w:t>
      </w:r>
      <w:r>
        <w:tab/>
      </w:r>
      <w:r w:rsidR="00FF01A8" w:rsidRPr="004F5F2B">
        <w:t>The URBACT approach to use Integrated Territorial Investment (ITI)</w:t>
      </w:r>
      <w:r w:rsidR="00FF01A8" w:rsidRPr="004F5F2B">
        <w:rPr>
          <w:rStyle w:val="a5"/>
          <w:b w:val="0"/>
          <w:color w:val="000000"/>
        </w:rPr>
        <w:footnoteReference w:id="39"/>
      </w:r>
      <w:bookmarkEnd w:id="33"/>
    </w:p>
    <w:p w:rsidR="00090C91" w:rsidRPr="008B00B7" w:rsidRDefault="002E5CA7" w:rsidP="008B00B7">
      <w:pPr>
        <w:spacing w:after="120" w:line="276" w:lineRule="auto"/>
        <w:jc w:val="both"/>
        <w:rPr>
          <w:rFonts w:ascii="Verdana" w:eastAsia="Calibri" w:hAnsi="Verdana"/>
          <w:color w:val="000000"/>
          <w:sz w:val="22"/>
          <w:szCs w:val="22"/>
        </w:rPr>
      </w:pPr>
      <w:r w:rsidRPr="008B00B7">
        <w:rPr>
          <w:rFonts w:ascii="Verdana" w:eastAsia="Calibri" w:hAnsi="Verdana"/>
          <w:color w:val="000000"/>
          <w:sz w:val="22"/>
          <w:szCs w:val="22"/>
        </w:rPr>
        <w:t xml:space="preserve">The Integrated Territorial Investment is one of the tools introduced in the regulations to implement territorial strategies in an integrated way. </w:t>
      </w:r>
    </w:p>
    <w:p w:rsidR="00090C91" w:rsidRPr="008B00B7" w:rsidRDefault="002E5CA7" w:rsidP="008B00B7">
      <w:pPr>
        <w:spacing w:after="120" w:line="276" w:lineRule="auto"/>
        <w:jc w:val="both"/>
        <w:rPr>
          <w:rFonts w:ascii="Verdana" w:eastAsia="Calibri" w:hAnsi="Verdana"/>
          <w:color w:val="000000"/>
          <w:sz w:val="22"/>
          <w:szCs w:val="22"/>
        </w:rPr>
      </w:pPr>
      <w:r w:rsidRPr="008B00B7">
        <w:rPr>
          <w:rFonts w:ascii="Verdana" w:eastAsia="Calibri" w:hAnsi="Verdana"/>
          <w:color w:val="000000"/>
          <w:sz w:val="22"/>
          <w:szCs w:val="22"/>
        </w:rPr>
        <w:t>ITIs allow for the implementation of Operational Programmes in a cross-cutting way and to draw on funding from several priority axes of one or more Operational Programmes to ensure the implementation of an integrated strategy for a specific territory.</w:t>
      </w:r>
    </w:p>
    <w:p w:rsidR="00090C91" w:rsidRPr="008B00B7" w:rsidRDefault="002E5CA7" w:rsidP="008B00B7">
      <w:pPr>
        <w:spacing w:after="120" w:line="276" w:lineRule="auto"/>
        <w:jc w:val="both"/>
        <w:rPr>
          <w:rFonts w:ascii="Verdana" w:eastAsia="Calibri" w:hAnsi="Verdana"/>
          <w:color w:val="000000"/>
          <w:sz w:val="22"/>
          <w:szCs w:val="22"/>
        </w:rPr>
      </w:pPr>
      <w:r w:rsidRPr="008B00B7">
        <w:rPr>
          <w:rFonts w:ascii="Verdana" w:eastAsia="Calibri" w:hAnsi="Verdana"/>
          <w:color w:val="000000"/>
          <w:sz w:val="22"/>
          <w:szCs w:val="22"/>
        </w:rPr>
        <w:t xml:space="preserve">It can support integrated actions in urban areas as it offers the possibility to combine funding linked to different thematic objectives, including the combination of funding from those priority axes and operational programmes supported by ERDF, ESF, CF, etc.  </w:t>
      </w:r>
    </w:p>
    <w:p w:rsidR="00090C91" w:rsidRPr="004F5F2B" w:rsidRDefault="00090C91" w:rsidP="008B00B7">
      <w:pPr>
        <w:spacing w:after="120" w:line="276" w:lineRule="auto"/>
        <w:jc w:val="both"/>
        <w:rPr>
          <w:rFonts w:ascii="Verdana" w:eastAsia="Calibri" w:hAnsi="Verdana"/>
          <w:color w:val="000000"/>
        </w:rPr>
      </w:pPr>
    </w:p>
    <w:p w:rsidR="00090C91" w:rsidRPr="008B00B7" w:rsidRDefault="002E5CA7" w:rsidP="008B00B7">
      <w:pPr>
        <w:spacing w:after="120" w:line="276" w:lineRule="auto"/>
        <w:jc w:val="both"/>
        <w:rPr>
          <w:rFonts w:ascii="Verdana" w:hAnsi="Verdana"/>
          <w:sz w:val="22"/>
          <w:szCs w:val="22"/>
          <w:lang w:eastAsia="ja-JP"/>
        </w:rPr>
      </w:pPr>
      <w:r w:rsidRPr="008B00B7">
        <w:rPr>
          <w:rFonts w:ascii="Verdana" w:hAnsi="Verdana"/>
          <w:sz w:val="22"/>
          <w:szCs w:val="22"/>
          <w:lang w:eastAsia="ja-JP"/>
        </w:rPr>
        <w:t>As with the other new urban instruments and initiatives (e.g. CLLD, Article 7 etc.), URBACT's experience in integrated sustainable urban development means that the programme can play a key role in ensuring the effective implementation of the new ITI instrument which will be widely used by European cities in the 2014-2020 period. In addition, it provides URBACT with a significant opportunity to increase our links and complementarities between the work of the programme and the mainstream ERDF programmes.</w:t>
      </w:r>
    </w:p>
    <w:p w:rsidR="00090C91" w:rsidRPr="00C4514D" w:rsidRDefault="002E5CA7" w:rsidP="008B00B7">
      <w:pPr>
        <w:spacing w:after="120" w:line="276" w:lineRule="auto"/>
        <w:jc w:val="both"/>
        <w:rPr>
          <w:rFonts w:ascii="Verdana" w:hAnsi="Verdana"/>
          <w:sz w:val="22"/>
          <w:szCs w:val="22"/>
          <w:lang w:eastAsia="ja-JP"/>
        </w:rPr>
      </w:pPr>
      <w:r w:rsidRPr="00C4514D">
        <w:rPr>
          <w:rFonts w:ascii="Verdana" w:hAnsi="Verdana"/>
          <w:sz w:val="22"/>
          <w:szCs w:val="22"/>
          <w:lang w:eastAsia="ja-JP"/>
        </w:rPr>
        <w:t xml:space="preserve">As such, </w:t>
      </w:r>
      <w:r w:rsidRPr="00C4514D">
        <w:rPr>
          <w:rFonts w:ascii="Verdana" w:eastAsia="Calibri" w:hAnsi="Verdana"/>
          <w:sz w:val="22"/>
          <w:szCs w:val="22"/>
        </w:rPr>
        <w:t>URBACT III, through</w:t>
      </w:r>
      <w:r w:rsidRPr="00C4514D">
        <w:rPr>
          <w:rFonts w:ascii="Verdana" w:eastAsia="Calibri" w:hAnsi="Verdana"/>
          <w:color w:val="000000"/>
          <w:sz w:val="22"/>
          <w:szCs w:val="22"/>
        </w:rPr>
        <w:t xml:space="preserve"> its exchange, capacity building and capitalisation activities </w:t>
      </w:r>
      <w:r w:rsidRPr="00C4514D">
        <w:rPr>
          <w:rFonts w:ascii="Verdana" w:hAnsi="Verdana"/>
          <w:sz w:val="22"/>
          <w:szCs w:val="22"/>
          <w:lang w:eastAsia="ja-JP"/>
        </w:rPr>
        <w:t>shall seek to:</w:t>
      </w:r>
    </w:p>
    <w:p w:rsidR="00090C91" w:rsidRPr="00C4514D" w:rsidRDefault="002E5CA7" w:rsidP="00D67ECF">
      <w:pPr>
        <w:pStyle w:val="afd"/>
        <w:numPr>
          <w:ilvl w:val="0"/>
          <w:numId w:val="46"/>
        </w:numPr>
        <w:spacing w:after="120"/>
        <w:ind w:left="714" w:hanging="357"/>
        <w:jc w:val="both"/>
        <w:rPr>
          <w:rFonts w:ascii="Verdana" w:hAnsi="Verdana"/>
          <w:lang w:eastAsia="ja-JP"/>
        </w:rPr>
      </w:pPr>
      <w:r w:rsidRPr="00C4514D">
        <w:rPr>
          <w:rFonts w:ascii="Verdana" w:hAnsi="Verdana"/>
          <w:lang w:eastAsia="ja-JP"/>
        </w:rPr>
        <w:t>scale up the activities of those cities implementing ITIs under ERDF Article 7 and disseminate their experiences, particularly to those interested in setting up an ITI; and</w:t>
      </w:r>
    </w:p>
    <w:p w:rsidR="00090C91" w:rsidRPr="00C4514D" w:rsidRDefault="002E5CA7" w:rsidP="00D67ECF">
      <w:pPr>
        <w:pStyle w:val="afd"/>
        <w:numPr>
          <w:ilvl w:val="0"/>
          <w:numId w:val="46"/>
        </w:numPr>
        <w:spacing w:after="120"/>
        <w:ind w:left="714" w:hanging="357"/>
        <w:jc w:val="both"/>
        <w:rPr>
          <w:rFonts w:ascii="Verdana" w:hAnsi="Verdana"/>
          <w:lang w:eastAsia="ja-JP"/>
        </w:rPr>
      </w:pPr>
      <w:r w:rsidRPr="00C4514D">
        <w:rPr>
          <w:rFonts w:ascii="Verdana" w:hAnsi="Verdana"/>
        </w:rPr>
        <w:t>perform exchange activities between those urban authorities operating ITIs in order to improve their capacity, foster policy learning and accelerate the transfer and implementation of good practices.</w:t>
      </w:r>
    </w:p>
    <w:p w:rsidR="00FF01A8" w:rsidRPr="00C4514D" w:rsidRDefault="00FF01A8" w:rsidP="008B00B7">
      <w:pPr>
        <w:spacing w:after="120" w:line="276" w:lineRule="auto"/>
        <w:jc w:val="both"/>
        <w:rPr>
          <w:rFonts w:ascii="Verdana" w:eastAsia="Calibri" w:hAnsi="Verdana"/>
          <w:color w:val="000000"/>
          <w:sz w:val="22"/>
          <w:szCs w:val="22"/>
        </w:rPr>
      </w:pPr>
    </w:p>
    <w:p w:rsidR="00FF01A8" w:rsidRPr="004F5F2B" w:rsidRDefault="007B5752" w:rsidP="008B00B7">
      <w:pPr>
        <w:pStyle w:val="2"/>
        <w:spacing w:after="120" w:line="276" w:lineRule="auto"/>
      </w:pPr>
      <w:bookmarkStart w:id="34" w:name="_Toc384648456"/>
      <w:r>
        <w:t>4.4.</w:t>
      </w:r>
      <w:r>
        <w:tab/>
      </w:r>
      <w:r w:rsidR="00FF01A8" w:rsidRPr="004F5F2B">
        <w:t>The contribution of URBACT to macro-regional and sea basin strategies.</w:t>
      </w:r>
      <w:bookmarkEnd w:id="34"/>
    </w:p>
    <w:p w:rsidR="008B00B7" w:rsidRDefault="008B00B7" w:rsidP="008B00B7">
      <w:pPr>
        <w:spacing w:after="120" w:line="276" w:lineRule="auto"/>
        <w:jc w:val="both"/>
        <w:rPr>
          <w:rFonts w:ascii="Verdana" w:eastAsia="Calibri" w:hAnsi="Verdana"/>
          <w:color w:val="000000"/>
          <w:sz w:val="22"/>
          <w:szCs w:val="22"/>
        </w:rPr>
      </w:pPr>
    </w:p>
    <w:p w:rsidR="008B00B7" w:rsidRPr="00C4514D" w:rsidRDefault="00FF01A8" w:rsidP="008B00B7">
      <w:pPr>
        <w:spacing w:after="120" w:line="276" w:lineRule="auto"/>
        <w:jc w:val="both"/>
        <w:rPr>
          <w:rFonts w:ascii="Verdana" w:eastAsia="Calibri" w:hAnsi="Verdana"/>
          <w:color w:val="000000"/>
          <w:sz w:val="22"/>
          <w:szCs w:val="22"/>
        </w:rPr>
      </w:pPr>
      <w:r w:rsidRPr="00C4514D">
        <w:rPr>
          <w:rFonts w:ascii="Verdana" w:eastAsia="Calibri" w:hAnsi="Verdana"/>
          <w:color w:val="000000"/>
          <w:sz w:val="22"/>
          <w:szCs w:val="22"/>
        </w:rPr>
        <w:t>As and interregional European Territorial Cooperation programme covering the 28 Member States, Norway and Switzerland, URBACT doesn’t focus to specific macro region or sea basin strategies.</w:t>
      </w:r>
    </w:p>
    <w:p w:rsidR="00FF01A8" w:rsidRPr="00C4514D" w:rsidRDefault="00FF01A8" w:rsidP="008B00B7">
      <w:pPr>
        <w:spacing w:after="120" w:line="276" w:lineRule="auto"/>
        <w:rPr>
          <w:rFonts w:ascii="Verdana" w:hAnsi="Verdana"/>
          <w:sz w:val="22"/>
          <w:szCs w:val="22"/>
        </w:rPr>
      </w:pPr>
      <w:r w:rsidRPr="00C4514D">
        <w:rPr>
          <w:rFonts w:ascii="Verdana" w:eastAsia="Calibri" w:hAnsi="Verdana"/>
          <w:color w:val="000000"/>
          <w:sz w:val="22"/>
          <w:szCs w:val="22"/>
        </w:rPr>
        <w:t xml:space="preserve">Meanwhile nothing shall prevent such strategic areas approaching and URBACT III to exchange experience on these geographical areas. Needs of cities linked with sustainable urban development in specific macro-regions and sea-basins could justify an approach at this scale. </w:t>
      </w:r>
    </w:p>
    <w:p w:rsidR="00FF01A8" w:rsidRPr="00C4514D" w:rsidRDefault="00FF01A8" w:rsidP="008B00B7">
      <w:pPr>
        <w:spacing w:after="120" w:line="276" w:lineRule="auto"/>
        <w:ind w:firstLine="708"/>
        <w:rPr>
          <w:rFonts w:ascii="Verdana" w:hAnsi="Verdana"/>
          <w:sz w:val="22"/>
          <w:szCs w:val="22"/>
        </w:rPr>
      </w:pPr>
    </w:p>
    <w:p w:rsidR="0099587B" w:rsidRPr="004F5F2B" w:rsidRDefault="0099587B" w:rsidP="008B00B7">
      <w:pPr>
        <w:spacing w:after="120" w:line="276" w:lineRule="auto"/>
        <w:rPr>
          <w:rFonts w:ascii="Verdana" w:hAnsi="Verdana"/>
        </w:rPr>
      </w:pPr>
      <w:r w:rsidRPr="004F5F2B">
        <w:rPr>
          <w:rFonts w:ascii="Verdana" w:hAnsi="Verdana"/>
        </w:rPr>
        <w:br w:type="page"/>
      </w:r>
    </w:p>
    <w:p w:rsidR="00E611D8" w:rsidRPr="004F5F2B" w:rsidRDefault="00E611D8">
      <w:pPr>
        <w:spacing w:after="200" w:line="276" w:lineRule="auto"/>
        <w:rPr>
          <w:rFonts w:ascii="Verdana" w:hAnsi="Verdana"/>
        </w:rPr>
      </w:pPr>
    </w:p>
    <w:p w:rsidR="00E611D8" w:rsidRPr="004F5F2B" w:rsidRDefault="00E611D8">
      <w:pPr>
        <w:spacing w:after="200" w:line="276" w:lineRule="auto"/>
        <w:rPr>
          <w:rFonts w:ascii="Verdana" w:hAnsi="Verdana"/>
        </w:rPr>
      </w:pPr>
    </w:p>
    <w:p w:rsidR="00E611D8" w:rsidRPr="004F5F2B" w:rsidRDefault="00E611D8">
      <w:pPr>
        <w:spacing w:after="200" w:line="276" w:lineRule="auto"/>
        <w:rPr>
          <w:rFonts w:ascii="Verdana" w:hAnsi="Verdana"/>
        </w:rPr>
      </w:pPr>
    </w:p>
    <w:p w:rsidR="00E611D8" w:rsidRPr="004F5F2B" w:rsidRDefault="00E611D8">
      <w:pPr>
        <w:spacing w:after="200" w:line="276" w:lineRule="auto"/>
        <w:rPr>
          <w:rFonts w:ascii="Verdana" w:hAnsi="Verdana"/>
        </w:rPr>
      </w:pPr>
    </w:p>
    <w:p w:rsidR="00AC759C" w:rsidRPr="004F5F2B" w:rsidRDefault="00AC759C" w:rsidP="00E611D8">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E611D8" w:rsidRPr="004F5F2B" w:rsidRDefault="00E611D8" w:rsidP="00E611D8">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r w:rsidRPr="004F5F2B">
        <w:rPr>
          <w:rFonts w:ascii="Verdana" w:hAnsi="Verdana"/>
          <w:b/>
          <w:bCs/>
        </w:rPr>
        <w:t>SECTION FIVE</w:t>
      </w:r>
    </w:p>
    <w:p w:rsidR="00E611D8" w:rsidRPr="004F5F2B" w:rsidRDefault="00E611D8" w:rsidP="00E611D8">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E611D8" w:rsidRPr="004F5F2B" w:rsidRDefault="00E611D8" w:rsidP="00E611D8">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E611D8" w:rsidRPr="004F5F2B" w:rsidRDefault="00E611D8" w:rsidP="00E611D8">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sz w:val="36"/>
          <w:szCs w:val="36"/>
          <w:lang w:eastAsia="ar-SA"/>
        </w:rPr>
      </w:pPr>
      <w:r w:rsidRPr="004F5F2B">
        <w:rPr>
          <w:rFonts w:ascii="Verdana" w:hAnsi="Verdana"/>
          <w:b/>
          <w:bCs/>
          <w:sz w:val="36"/>
          <w:szCs w:val="36"/>
          <w:lang w:eastAsia="ar-SA"/>
        </w:rPr>
        <w:t>Implementation provisions</w:t>
      </w:r>
    </w:p>
    <w:p w:rsidR="00E611D8" w:rsidRPr="004F5F2B" w:rsidRDefault="00E611D8" w:rsidP="00E611D8">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sz w:val="36"/>
          <w:szCs w:val="36"/>
        </w:rPr>
      </w:pPr>
      <w:r w:rsidRPr="004F5F2B">
        <w:rPr>
          <w:rFonts w:ascii="Verdana" w:hAnsi="Verdana"/>
          <w:b/>
          <w:bCs/>
          <w:sz w:val="36"/>
          <w:szCs w:val="36"/>
          <w:lang w:eastAsia="ar-SA"/>
        </w:rPr>
        <w:t>for the cooperation programme</w:t>
      </w:r>
    </w:p>
    <w:p w:rsidR="00E611D8" w:rsidRPr="004F5F2B" w:rsidRDefault="00E611D8" w:rsidP="00E611D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sz w:val="36"/>
          <w:szCs w:val="36"/>
        </w:rPr>
      </w:pPr>
    </w:p>
    <w:p w:rsidR="00E611D8" w:rsidRPr="004F5F2B" w:rsidRDefault="00E611D8" w:rsidP="00E611D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11D8" w:rsidRPr="004F5F2B" w:rsidRDefault="00E611D8" w:rsidP="00E611D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11D8" w:rsidRPr="004F5F2B" w:rsidRDefault="00E611D8" w:rsidP="00E611D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11D8" w:rsidRPr="004F5F2B" w:rsidRDefault="00E611D8" w:rsidP="00E611D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iCs/>
          <w:lang w:eastAsia="ar-SA"/>
        </w:rPr>
      </w:pPr>
      <w:r w:rsidRPr="004F5F2B">
        <w:rPr>
          <w:rFonts w:ascii="Verdana" w:hAnsi="Verdana"/>
          <w:b/>
          <w:bCs/>
        </w:rPr>
        <w:t>5.1</w:t>
      </w:r>
      <w:r w:rsidRPr="004F5F2B">
        <w:rPr>
          <w:rFonts w:ascii="Verdana" w:hAnsi="Verdana"/>
          <w:b/>
          <w:bCs/>
        </w:rPr>
        <w:tab/>
      </w:r>
      <w:r w:rsidRPr="004F5F2B">
        <w:rPr>
          <w:rFonts w:ascii="Verdana" w:hAnsi="Verdana"/>
          <w:b/>
          <w:bCs/>
          <w:iCs/>
          <w:lang w:eastAsia="ar-SA"/>
        </w:rPr>
        <w:t>Identification of the relevant authorities and bodies</w:t>
      </w:r>
    </w:p>
    <w:p w:rsidR="00E611D8" w:rsidRPr="004F5F2B" w:rsidRDefault="00E611D8" w:rsidP="00E611D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11D8" w:rsidRPr="004F5F2B" w:rsidRDefault="00E611D8" w:rsidP="00E611D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11D8" w:rsidRPr="004F5F2B" w:rsidRDefault="00E611D8" w:rsidP="00E611D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r w:rsidRPr="004F5F2B">
        <w:rPr>
          <w:rFonts w:ascii="Verdana" w:hAnsi="Verdana"/>
          <w:b/>
          <w:bCs/>
        </w:rPr>
        <w:t>5.2</w:t>
      </w:r>
      <w:r w:rsidRPr="004F5F2B">
        <w:rPr>
          <w:rFonts w:ascii="Verdana" w:hAnsi="Verdana"/>
          <w:b/>
          <w:bCs/>
        </w:rPr>
        <w:tab/>
      </w:r>
      <w:r w:rsidRPr="004F5F2B">
        <w:rPr>
          <w:rFonts w:ascii="Verdana" w:eastAsia="Arial" w:hAnsi="Verdana"/>
          <w:b/>
          <w:bCs/>
          <w:lang w:eastAsia="ar-SA"/>
        </w:rPr>
        <w:t>Involvement of partners</w:t>
      </w:r>
    </w:p>
    <w:p w:rsidR="00E611D8" w:rsidRPr="004F5F2B" w:rsidRDefault="00E611D8" w:rsidP="00E611D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11D8" w:rsidRPr="004F5F2B" w:rsidRDefault="00E611D8" w:rsidP="00E611D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11D8" w:rsidRPr="004F5F2B" w:rsidRDefault="00E611D8" w:rsidP="00E611D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11D8" w:rsidRPr="004F5F2B" w:rsidRDefault="00E611D8" w:rsidP="00E611D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11D8" w:rsidRPr="004F5F2B" w:rsidRDefault="00E611D8">
      <w:pPr>
        <w:spacing w:after="200" w:line="276" w:lineRule="auto"/>
        <w:rPr>
          <w:rFonts w:ascii="Verdana" w:hAnsi="Verdana"/>
        </w:rPr>
      </w:pPr>
    </w:p>
    <w:p w:rsidR="00E611D8" w:rsidRPr="004F5F2B" w:rsidRDefault="00E611D8">
      <w:pPr>
        <w:spacing w:after="200" w:line="276" w:lineRule="auto"/>
        <w:rPr>
          <w:rFonts w:ascii="Verdana" w:hAnsi="Verdana"/>
        </w:rPr>
      </w:pPr>
    </w:p>
    <w:p w:rsidR="00E611D8" w:rsidRPr="004F5F2B" w:rsidRDefault="00E611D8">
      <w:pPr>
        <w:spacing w:after="200" w:line="276" w:lineRule="auto"/>
        <w:rPr>
          <w:rFonts w:ascii="Verdana" w:hAnsi="Verdana"/>
        </w:rPr>
      </w:pPr>
    </w:p>
    <w:p w:rsidR="00E611D8" w:rsidRPr="004F5F2B" w:rsidRDefault="00E611D8">
      <w:pPr>
        <w:spacing w:after="200" w:line="276" w:lineRule="auto"/>
        <w:rPr>
          <w:rFonts w:ascii="Verdana" w:hAnsi="Verdana"/>
        </w:rPr>
      </w:pPr>
    </w:p>
    <w:p w:rsidR="00E611D8" w:rsidRPr="004F5F2B" w:rsidRDefault="00E611D8">
      <w:pPr>
        <w:spacing w:after="200" w:line="276" w:lineRule="auto"/>
        <w:rPr>
          <w:rFonts w:ascii="Verdana" w:hAnsi="Verdana"/>
        </w:rPr>
      </w:pPr>
    </w:p>
    <w:p w:rsidR="00E611D8" w:rsidRPr="004F5F2B" w:rsidRDefault="00E611D8">
      <w:pPr>
        <w:spacing w:after="200" w:line="276" w:lineRule="auto"/>
        <w:rPr>
          <w:rFonts w:ascii="Verdana" w:hAnsi="Verdana"/>
        </w:rPr>
      </w:pPr>
      <w:r w:rsidRPr="004F5F2B">
        <w:rPr>
          <w:rFonts w:ascii="Verdana" w:hAnsi="Verdana"/>
        </w:rPr>
        <w:br w:type="page"/>
      </w:r>
    </w:p>
    <w:p w:rsidR="00FF01A8" w:rsidRPr="004F5F2B" w:rsidRDefault="00FF01A8" w:rsidP="00592786">
      <w:pPr>
        <w:ind w:firstLine="708"/>
        <w:rPr>
          <w:rFonts w:ascii="Verdana" w:hAnsi="Verdana"/>
        </w:rPr>
      </w:pPr>
    </w:p>
    <w:p w:rsidR="0099587B" w:rsidRPr="004F5F2B" w:rsidRDefault="0099587B" w:rsidP="00A40420">
      <w:pPr>
        <w:pStyle w:val="StyleHeading1Hanging085cm"/>
      </w:pPr>
      <w:bookmarkStart w:id="35" w:name="_Toc384648457"/>
      <w:bookmarkStart w:id="36" w:name="_Toc361646459"/>
      <w:bookmarkStart w:id="37" w:name="_Toc364465692"/>
      <w:bookmarkStart w:id="38" w:name="_Toc245710157"/>
      <w:r w:rsidRPr="004F5F2B">
        <w:t>Section 5. Implementation provisions for the cooperation programme</w:t>
      </w:r>
      <w:bookmarkEnd w:id="35"/>
      <w:r w:rsidRPr="004F5F2B">
        <w:t xml:space="preserve"> </w:t>
      </w:r>
    </w:p>
    <w:p w:rsidR="008B00B7" w:rsidRDefault="008B00B7" w:rsidP="008B00B7">
      <w:pPr>
        <w:autoSpaceDE w:val="0"/>
        <w:autoSpaceDN w:val="0"/>
        <w:adjustRightInd w:val="0"/>
        <w:spacing w:after="180" w:line="276" w:lineRule="auto"/>
        <w:jc w:val="both"/>
        <w:rPr>
          <w:rFonts w:ascii="Verdana" w:eastAsia="MS Mincho" w:hAnsi="Verdana" w:cs="Arial"/>
          <w:sz w:val="22"/>
          <w:szCs w:val="22"/>
          <w:lang w:eastAsia="ja-JP"/>
        </w:rPr>
      </w:pP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This section describes the bodies acting as managing authority (MA), certifying authority (CA), audit authority (AA) and joint secretariat (JS). It defines the tasks of each of the bodies involved, including the monitoring committee (MC). It also describes the relations between the different bodies in the various processes necessary for programme implementation. </w:t>
      </w:r>
    </w:p>
    <w:p w:rsidR="0099587B" w:rsidRPr="00C4514D" w:rsidRDefault="0099587B" w:rsidP="008B00B7">
      <w:pPr>
        <w:autoSpaceDE w:val="0"/>
        <w:autoSpaceDN w:val="0"/>
        <w:adjustRightInd w:val="0"/>
        <w:spacing w:after="180" w:line="276" w:lineRule="auto"/>
        <w:jc w:val="both"/>
        <w:rPr>
          <w:rFonts w:ascii="Verdana" w:eastAsia="Cambria" w:hAnsi="Verdana" w:cs="Arial"/>
          <w:bCs/>
          <w:sz w:val="22"/>
          <w:szCs w:val="22"/>
          <w:lang w:eastAsia="en-US"/>
        </w:rPr>
      </w:pPr>
      <w:r w:rsidRPr="00C4514D">
        <w:rPr>
          <w:rFonts w:ascii="Verdana" w:eastAsia="Cambria" w:hAnsi="Verdana" w:cs="Arial"/>
          <w:bCs/>
          <w:sz w:val="22"/>
          <w:szCs w:val="22"/>
          <w:lang w:eastAsia="en-US"/>
        </w:rPr>
        <w:t xml:space="preserve">The </w:t>
      </w:r>
      <w:r w:rsidR="00DF411C" w:rsidRPr="00C4514D">
        <w:rPr>
          <w:rFonts w:ascii="Verdana" w:eastAsia="Cambria" w:hAnsi="Verdana" w:cs="Arial"/>
          <w:bCs/>
          <w:sz w:val="22"/>
          <w:szCs w:val="22"/>
          <w:lang w:eastAsia="en-US"/>
        </w:rPr>
        <w:t xml:space="preserve">official </w:t>
      </w:r>
      <w:r w:rsidRPr="00C4514D">
        <w:rPr>
          <w:rFonts w:ascii="Verdana" w:eastAsia="Cambria" w:hAnsi="Verdana" w:cs="Arial"/>
          <w:bCs/>
          <w:sz w:val="22"/>
          <w:szCs w:val="22"/>
          <w:lang w:eastAsia="en-US"/>
        </w:rPr>
        <w:t>language of the programme shall be English. All communication between MS/PS, MA, CA, AA and JS and all bodies mentioned in this document, and all communication necessary to manage and implement the programme are in English language. French shall be considered as a working language for the programme</w:t>
      </w:r>
      <w:r w:rsidR="00AE3FF8" w:rsidRPr="00C4514D">
        <w:rPr>
          <w:rFonts w:ascii="Verdana" w:eastAsia="Cambria" w:hAnsi="Verdana" w:cs="Arial"/>
          <w:bCs/>
          <w:sz w:val="22"/>
          <w:szCs w:val="22"/>
          <w:lang w:eastAsia="en-US"/>
        </w:rPr>
        <w:t xml:space="preserve"> for legal reasons</w:t>
      </w:r>
      <w:r w:rsidRPr="00C4514D">
        <w:rPr>
          <w:rFonts w:ascii="Verdana" w:eastAsia="Cambria" w:hAnsi="Verdana" w:cs="Arial"/>
          <w:bCs/>
          <w:sz w:val="22"/>
          <w:szCs w:val="22"/>
          <w:lang w:eastAsia="en-US"/>
        </w:rPr>
        <w:t xml:space="preserve">.  </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p>
    <w:p w:rsidR="0099587B" w:rsidRPr="004F5F2B" w:rsidRDefault="0099587B" w:rsidP="008B00B7">
      <w:pPr>
        <w:pStyle w:val="2"/>
        <w:spacing w:after="180" w:line="276" w:lineRule="auto"/>
        <w:rPr>
          <w:lang w:eastAsia="ar-SA"/>
        </w:rPr>
      </w:pPr>
      <w:bookmarkStart w:id="39" w:name="_Toc384648458"/>
      <w:r w:rsidRPr="004F5F2B">
        <w:rPr>
          <w:lang w:eastAsia="ar-SA"/>
        </w:rPr>
        <w:t>5.1.</w:t>
      </w:r>
      <w:r w:rsidR="007B5752">
        <w:rPr>
          <w:lang w:eastAsia="ar-SA"/>
        </w:rPr>
        <w:tab/>
      </w:r>
      <w:r w:rsidRPr="004F5F2B">
        <w:rPr>
          <w:lang w:eastAsia="ar-SA"/>
        </w:rPr>
        <w:t>Identification of the relevant authorities and bodies</w:t>
      </w:r>
      <w:bookmarkEnd w:id="39"/>
      <w:r w:rsidRPr="004F5F2B">
        <w:rPr>
          <w:lang w:eastAsia="ar-SA"/>
        </w:rPr>
        <w:t xml:space="preserve"> </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The management of this programme follows the management structure applicable for a Structural Funds Programme and is made up of:</w:t>
      </w:r>
    </w:p>
    <w:p w:rsidR="0099587B" w:rsidRPr="00C4514D" w:rsidRDefault="0099587B" w:rsidP="00D67ECF">
      <w:pPr>
        <w:numPr>
          <w:ilvl w:val="0"/>
          <w:numId w:val="47"/>
        </w:numPr>
        <w:autoSpaceDE w:val="0"/>
        <w:autoSpaceDN w:val="0"/>
        <w:adjustRightInd w:val="0"/>
        <w:spacing w:after="180" w:line="276" w:lineRule="auto"/>
        <w:ind w:left="697"/>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a </w:t>
      </w:r>
      <w:r w:rsidRPr="00C4514D">
        <w:rPr>
          <w:rFonts w:ascii="Verdana" w:eastAsia="MS Mincho" w:hAnsi="Verdana" w:cs="Arial"/>
          <w:b/>
          <w:bCs/>
          <w:sz w:val="22"/>
          <w:szCs w:val="22"/>
          <w:lang w:eastAsia="ja-JP"/>
        </w:rPr>
        <w:t>managing authority</w:t>
      </w:r>
      <w:r w:rsidRPr="00C4514D">
        <w:rPr>
          <w:rFonts w:ascii="Verdana" w:eastAsia="MS Mincho" w:hAnsi="Verdana" w:cs="Arial"/>
          <w:sz w:val="22"/>
          <w:szCs w:val="22"/>
          <w:lang w:eastAsia="ja-JP"/>
        </w:rPr>
        <w:t>,</w:t>
      </w:r>
    </w:p>
    <w:p w:rsidR="0099587B" w:rsidRPr="00C4514D" w:rsidRDefault="0099587B" w:rsidP="00D67ECF">
      <w:pPr>
        <w:numPr>
          <w:ilvl w:val="0"/>
          <w:numId w:val="47"/>
        </w:numPr>
        <w:autoSpaceDE w:val="0"/>
        <w:autoSpaceDN w:val="0"/>
        <w:adjustRightInd w:val="0"/>
        <w:spacing w:after="180" w:line="276" w:lineRule="auto"/>
        <w:ind w:left="697"/>
        <w:rPr>
          <w:rFonts w:ascii="Verdana" w:eastAsia="MS Mincho" w:hAnsi="Verdana" w:cs="Arial"/>
          <w:b/>
          <w:bCs/>
          <w:sz w:val="22"/>
          <w:szCs w:val="22"/>
          <w:lang w:eastAsia="ja-JP"/>
        </w:rPr>
      </w:pPr>
      <w:r w:rsidRPr="00C4514D">
        <w:rPr>
          <w:rFonts w:ascii="Verdana" w:eastAsia="MS Mincho" w:hAnsi="Verdana" w:cs="Arial"/>
          <w:sz w:val="22"/>
          <w:szCs w:val="22"/>
          <w:lang w:eastAsia="ja-JP"/>
        </w:rPr>
        <w:t xml:space="preserve">a </w:t>
      </w:r>
      <w:r w:rsidRPr="00C4514D">
        <w:rPr>
          <w:rFonts w:ascii="Verdana" w:eastAsia="MS Mincho" w:hAnsi="Verdana" w:cs="Arial"/>
          <w:b/>
          <w:bCs/>
          <w:sz w:val="22"/>
          <w:szCs w:val="22"/>
          <w:lang w:eastAsia="ja-JP"/>
        </w:rPr>
        <w:t>certifying authority,</w:t>
      </w:r>
    </w:p>
    <w:p w:rsidR="0099587B" w:rsidRPr="00C4514D" w:rsidRDefault="0099587B" w:rsidP="00D67ECF">
      <w:pPr>
        <w:numPr>
          <w:ilvl w:val="0"/>
          <w:numId w:val="47"/>
        </w:numPr>
        <w:autoSpaceDE w:val="0"/>
        <w:autoSpaceDN w:val="0"/>
        <w:adjustRightInd w:val="0"/>
        <w:spacing w:after="180" w:line="276" w:lineRule="auto"/>
        <w:ind w:left="697"/>
        <w:rPr>
          <w:rFonts w:ascii="Verdana" w:eastAsia="MS Mincho" w:hAnsi="Verdana" w:cs="Arial"/>
          <w:b/>
          <w:bCs/>
          <w:sz w:val="22"/>
          <w:szCs w:val="22"/>
          <w:lang w:eastAsia="ja-JP"/>
        </w:rPr>
      </w:pPr>
      <w:r w:rsidRPr="00C4514D">
        <w:rPr>
          <w:rFonts w:ascii="Verdana" w:eastAsia="MS Mincho" w:hAnsi="Verdana" w:cs="Arial"/>
          <w:sz w:val="22"/>
          <w:szCs w:val="22"/>
          <w:lang w:eastAsia="ja-JP"/>
        </w:rPr>
        <w:t xml:space="preserve">an </w:t>
      </w:r>
      <w:r w:rsidRPr="00C4514D">
        <w:rPr>
          <w:rFonts w:ascii="Verdana" w:eastAsia="MS Mincho" w:hAnsi="Verdana" w:cs="Arial"/>
          <w:b/>
          <w:bCs/>
          <w:sz w:val="22"/>
          <w:szCs w:val="22"/>
          <w:lang w:eastAsia="ja-JP"/>
        </w:rPr>
        <w:t>audit authority,</w:t>
      </w:r>
    </w:p>
    <w:p w:rsidR="0099587B" w:rsidRPr="00C4514D" w:rsidRDefault="0099587B" w:rsidP="00D67ECF">
      <w:pPr>
        <w:numPr>
          <w:ilvl w:val="0"/>
          <w:numId w:val="47"/>
        </w:numPr>
        <w:autoSpaceDE w:val="0"/>
        <w:autoSpaceDN w:val="0"/>
        <w:adjustRightInd w:val="0"/>
        <w:spacing w:after="180" w:line="276" w:lineRule="auto"/>
        <w:ind w:left="697"/>
        <w:rPr>
          <w:rFonts w:ascii="Verdana" w:eastAsia="MS Mincho" w:hAnsi="Verdana" w:cs="Arial"/>
          <w:b/>
          <w:bCs/>
          <w:sz w:val="22"/>
          <w:szCs w:val="22"/>
          <w:lang w:eastAsia="ja-JP"/>
        </w:rPr>
      </w:pPr>
      <w:r w:rsidRPr="00C4514D">
        <w:rPr>
          <w:rFonts w:ascii="Verdana" w:eastAsia="MS Mincho" w:hAnsi="Verdana" w:cs="Arial"/>
          <w:sz w:val="22"/>
          <w:szCs w:val="22"/>
          <w:lang w:eastAsia="ja-JP"/>
        </w:rPr>
        <w:t xml:space="preserve">a </w:t>
      </w:r>
      <w:r w:rsidRPr="00C4514D">
        <w:rPr>
          <w:rFonts w:ascii="Verdana" w:eastAsia="MS Mincho" w:hAnsi="Verdana" w:cs="Arial"/>
          <w:b/>
          <w:bCs/>
          <w:sz w:val="22"/>
          <w:szCs w:val="22"/>
          <w:lang w:eastAsia="ja-JP"/>
        </w:rPr>
        <w:t>monitoring committee,</w:t>
      </w:r>
    </w:p>
    <w:p w:rsidR="0099587B" w:rsidRPr="00C4514D" w:rsidRDefault="0099587B" w:rsidP="00D67ECF">
      <w:pPr>
        <w:numPr>
          <w:ilvl w:val="0"/>
          <w:numId w:val="47"/>
        </w:numPr>
        <w:autoSpaceDE w:val="0"/>
        <w:autoSpaceDN w:val="0"/>
        <w:adjustRightInd w:val="0"/>
        <w:spacing w:after="180" w:line="276" w:lineRule="auto"/>
        <w:ind w:left="697"/>
        <w:rPr>
          <w:rFonts w:ascii="Verdana" w:eastAsia="MS Mincho" w:hAnsi="Verdana" w:cs="Arial"/>
          <w:b/>
          <w:bCs/>
          <w:sz w:val="22"/>
          <w:szCs w:val="22"/>
          <w:lang w:eastAsia="ja-JP"/>
        </w:rPr>
      </w:pPr>
      <w:r w:rsidRPr="00C4514D">
        <w:rPr>
          <w:rFonts w:ascii="Verdana" w:eastAsia="MS Mincho" w:hAnsi="Verdana" w:cs="Arial"/>
          <w:sz w:val="22"/>
          <w:szCs w:val="22"/>
          <w:lang w:eastAsia="ja-JP"/>
        </w:rPr>
        <w:t xml:space="preserve">a </w:t>
      </w:r>
      <w:r w:rsidRPr="00C4514D">
        <w:rPr>
          <w:rFonts w:ascii="Verdana" w:eastAsia="MS Mincho" w:hAnsi="Verdana" w:cs="Arial"/>
          <w:b/>
          <w:bCs/>
          <w:sz w:val="22"/>
          <w:szCs w:val="22"/>
          <w:lang w:eastAsia="ja-JP"/>
        </w:rPr>
        <w:t>joint secretariat</w:t>
      </w:r>
    </w:p>
    <w:p w:rsidR="0099587B" w:rsidRPr="00C4514D" w:rsidRDefault="0099587B" w:rsidP="008B00B7">
      <w:pPr>
        <w:autoSpaceDE w:val="0"/>
        <w:autoSpaceDN w:val="0"/>
        <w:adjustRightInd w:val="0"/>
        <w:spacing w:after="180" w:line="276" w:lineRule="auto"/>
        <w:rPr>
          <w:rFonts w:ascii="Verdana" w:eastAsia="MS Mincho" w:hAnsi="Verdana" w:cs="TT6Ao00"/>
          <w:sz w:val="22"/>
          <w:szCs w:val="22"/>
          <w:lang w:eastAsia="ja-JP"/>
        </w:rPr>
      </w:pPr>
    </w:p>
    <w:p w:rsidR="0099587B" w:rsidRPr="00C4514D" w:rsidRDefault="0099587B" w:rsidP="008B00B7">
      <w:pPr>
        <w:autoSpaceDE w:val="0"/>
        <w:autoSpaceDN w:val="0"/>
        <w:adjustRightInd w:val="0"/>
        <w:spacing w:after="180" w:line="276" w:lineRule="auto"/>
        <w:rPr>
          <w:rFonts w:ascii="Verdana" w:eastAsia="MS Mincho" w:hAnsi="Verdana" w:cs="Arial"/>
          <w:sz w:val="22"/>
          <w:szCs w:val="22"/>
          <w:lang w:eastAsia="ja-JP"/>
        </w:rPr>
      </w:pPr>
      <w:r w:rsidRPr="00C4514D">
        <w:rPr>
          <w:rFonts w:ascii="Verdana" w:eastAsia="MS Mincho" w:hAnsi="Verdana" w:cs="Arial"/>
          <w:sz w:val="22"/>
          <w:szCs w:val="22"/>
          <w:lang w:eastAsia="ja-JP"/>
        </w:rPr>
        <w:t>The characteristics, tasks and responsibilities of each of these bodies are described in the following paragraphs.</w:t>
      </w:r>
    </w:p>
    <w:p w:rsidR="0099587B" w:rsidRPr="00C4514D" w:rsidRDefault="0099587B" w:rsidP="008B00B7">
      <w:pPr>
        <w:autoSpaceDE w:val="0"/>
        <w:autoSpaceDN w:val="0"/>
        <w:adjustRightInd w:val="0"/>
        <w:spacing w:after="180" w:line="276" w:lineRule="auto"/>
        <w:rPr>
          <w:rFonts w:ascii="Verdana" w:eastAsia="Cambria" w:hAnsi="Verdana"/>
          <w:b/>
          <w:bCs/>
          <w:sz w:val="22"/>
          <w:szCs w:val="22"/>
          <w:lang w:eastAsia="en-US"/>
        </w:rPr>
      </w:pPr>
    </w:p>
    <w:p w:rsidR="008B00B7" w:rsidRDefault="008B00B7">
      <w:pPr>
        <w:rPr>
          <w:rFonts w:ascii="Verdana" w:eastAsia="Cambria" w:hAnsi="Verdana"/>
          <w:b/>
          <w:bCs/>
          <w:sz w:val="22"/>
          <w:szCs w:val="22"/>
          <w:lang w:eastAsia="en-US"/>
        </w:rPr>
      </w:pPr>
      <w:r>
        <w:rPr>
          <w:rFonts w:ascii="Verdana" w:eastAsia="Cambria" w:hAnsi="Verdana"/>
          <w:b/>
          <w:bCs/>
          <w:sz w:val="22"/>
          <w:szCs w:val="22"/>
          <w:lang w:eastAsia="en-US"/>
        </w:rPr>
        <w:br w:type="page"/>
      </w:r>
    </w:p>
    <w:p w:rsidR="0099587B" w:rsidRPr="00C4514D" w:rsidRDefault="0099587B" w:rsidP="008B00B7">
      <w:pPr>
        <w:autoSpaceDE w:val="0"/>
        <w:autoSpaceDN w:val="0"/>
        <w:adjustRightInd w:val="0"/>
        <w:spacing w:after="180" w:line="276" w:lineRule="auto"/>
        <w:jc w:val="both"/>
        <w:rPr>
          <w:rFonts w:ascii="Verdana" w:eastAsia="Cambria" w:hAnsi="Verdana"/>
          <w:b/>
          <w:bCs/>
          <w:sz w:val="22"/>
          <w:szCs w:val="22"/>
          <w:lang w:eastAsia="en-US"/>
        </w:rPr>
      </w:pPr>
      <w:r w:rsidRPr="00C4514D">
        <w:rPr>
          <w:rFonts w:ascii="Verdana" w:eastAsia="Cambria" w:hAnsi="Verdana"/>
          <w:b/>
          <w:bCs/>
          <w:sz w:val="22"/>
          <w:szCs w:val="22"/>
          <w:lang w:eastAsia="en-US"/>
        </w:rPr>
        <w:t>Table 21: Identification of and contact details for the relevant authorities and bodies</w:t>
      </w:r>
    </w:p>
    <w:tbl>
      <w:tblPr>
        <w:tblW w:w="0" w:type="auto"/>
        <w:jc w:val="center"/>
        <w:tblLayout w:type="fixed"/>
        <w:tblLook w:val="0000" w:firstRow="0" w:lastRow="0" w:firstColumn="0" w:lastColumn="0" w:noHBand="0" w:noVBand="0"/>
      </w:tblPr>
      <w:tblGrid>
        <w:gridCol w:w="2009"/>
        <w:gridCol w:w="4394"/>
        <w:gridCol w:w="2430"/>
      </w:tblGrid>
      <w:tr w:rsidR="0099587B" w:rsidRPr="00C4514D" w:rsidTr="0099587B">
        <w:trPr>
          <w:trHeight w:val="1"/>
          <w:jc w:val="center"/>
        </w:trPr>
        <w:tc>
          <w:tcPr>
            <w:tcW w:w="2009" w:type="dxa"/>
            <w:tcBorders>
              <w:top w:val="single" w:sz="2" w:space="0" w:color="000000"/>
              <w:left w:val="single" w:sz="2" w:space="0" w:color="000000"/>
              <w:bottom w:val="single" w:sz="2" w:space="0" w:color="000000"/>
              <w:right w:val="single" w:sz="2" w:space="0" w:color="000000"/>
            </w:tcBorders>
            <w:shd w:val="clear" w:color="auto" w:fill="DBE5F1"/>
          </w:tcPr>
          <w:p w:rsidR="0099587B" w:rsidRPr="00C4514D" w:rsidRDefault="0099587B" w:rsidP="0099587B">
            <w:pPr>
              <w:autoSpaceDE w:val="0"/>
              <w:autoSpaceDN w:val="0"/>
              <w:adjustRightInd w:val="0"/>
              <w:jc w:val="center"/>
              <w:rPr>
                <w:rFonts w:ascii="Verdana" w:eastAsia="Cambria" w:hAnsi="Verdana"/>
                <w:b/>
                <w:bCs/>
                <w:sz w:val="20"/>
                <w:szCs w:val="20"/>
                <w:lang w:eastAsia="en-US"/>
              </w:rPr>
            </w:pPr>
            <w:r w:rsidRPr="00C4514D">
              <w:rPr>
                <w:rFonts w:ascii="Verdana" w:eastAsia="Cambria" w:hAnsi="Verdana"/>
                <w:b/>
                <w:bCs/>
                <w:sz w:val="20"/>
                <w:szCs w:val="20"/>
                <w:lang w:eastAsia="en-US"/>
              </w:rPr>
              <w:t>Authority/</w:t>
            </w:r>
          </w:p>
          <w:p w:rsidR="0099587B" w:rsidRPr="00C4514D" w:rsidRDefault="0099587B" w:rsidP="0099587B">
            <w:pPr>
              <w:autoSpaceDE w:val="0"/>
              <w:autoSpaceDN w:val="0"/>
              <w:adjustRightInd w:val="0"/>
              <w:jc w:val="center"/>
              <w:rPr>
                <w:rFonts w:ascii="Verdana" w:eastAsia="Cambria" w:hAnsi="Verdana" w:cs="Calibri"/>
                <w:sz w:val="20"/>
                <w:szCs w:val="20"/>
                <w:lang w:eastAsia="en-US"/>
              </w:rPr>
            </w:pPr>
            <w:r w:rsidRPr="00C4514D">
              <w:rPr>
                <w:rFonts w:ascii="Verdana" w:eastAsia="Cambria" w:hAnsi="Verdana"/>
                <w:b/>
                <w:bCs/>
                <w:sz w:val="20"/>
                <w:szCs w:val="20"/>
                <w:lang w:eastAsia="en-US"/>
              </w:rPr>
              <w:t>body</w:t>
            </w:r>
          </w:p>
        </w:tc>
        <w:tc>
          <w:tcPr>
            <w:tcW w:w="4394" w:type="dxa"/>
            <w:tcBorders>
              <w:top w:val="single" w:sz="2" w:space="0" w:color="000000"/>
              <w:left w:val="single" w:sz="2" w:space="0" w:color="000000"/>
              <w:bottom w:val="single" w:sz="2" w:space="0" w:color="000000"/>
              <w:right w:val="single" w:sz="2" w:space="0" w:color="000000"/>
            </w:tcBorders>
            <w:shd w:val="clear" w:color="auto" w:fill="DBE5F1"/>
          </w:tcPr>
          <w:p w:rsidR="0099587B" w:rsidRPr="00C4514D" w:rsidRDefault="0099587B" w:rsidP="0099587B">
            <w:pPr>
              <w:autoSpaceDE w:val="0"/>
              <w:autoSpaceDN w:val="0"/>
              <w:adjustRightInd w:val="0"/>
              <w:jc w:val="center"/>
              <w:rPr>
                <w:rFonts w:ascii="Verdana" w:eastAsia="Cambria" w:hAnsi="Verdana" w:cs="Calibri"/>
                <w:sz w:val="20"/>
                <w:szCs w:val="20"/>
                <w:lang w:eastAsia="en-US"/>
              </w:rPr>
            </w:pPr>
            <w:r w:rsidRPr="00C4514D">
              <w:rPr>
                <w:rFonts w:ascii="Verdana" w:eastAsia="Cambria" w:hAnsi="Verdana"/>
                <w:b/>
                <w:bCs/>
                <w:sz w:val="20"/>
                <w:szCs w:val="20"/>
                <w:lang w:eastAsia="en-US"/>
              </w:rPr>
              <w:t>Name of the authority/body</w:t>
            </w:r>
          </w:p>
        </w:tc>
        <w:tc>
          <w:tcPr>
            <w:tcW w:w="2430" w:type="dxa"/>
            <w:tcBorders>
              <w:top w:val="single" w:sz="2" w:space="0" w:color="000000"/>
              <w:left w:val="single" w:sz="2" w:space="0" w:color="000000"/>
              <w:bottom w:val="single" w:sz="2" w:space="0" w:color="000000"/>
              <w:right w:val="single" w:sz="2" w:space="0" w:color="000000"/>
            </w:tcBorders>
            <w:shd w:val="clear" w:color="auto" w:fill="DBE5F1"/>
          </w:tcPr>
          <w:p w:rsidR="0099587B" w:rsidRPr="00C4514D" w:rsidRDefault="0099587B" w:rsidP="0099587B">
            <w:pPr>
              <w:autoSpaceDE w:val="0"/>
              <w:autoSpaceDN w:val="0"/>
              <w:adjustRightInd w:val="0"/>
              <w:jc w:val="center"/>
              <w:rPr>
                <w:rFonts w:ascii="Verdana" w:eastAsia="Cambria" w:hAnsi="Verdana" w:cs="Calibri"/>
                <w:sz w:val="20"/>
                <w:szCs w:val="20"/>
                <w:lang w:eastAsia="en-US"/>
              </w:rPr>
            </w:pPr>
            <w:r w:rsidRPr="00C4514D">
              <w:rPr>
                <w:rFonts w:ascii="Verdana" w:eastAsia="Cambria" w:hAnsi="Verdana"/>
                <w:b/>
                <w:bCs/>
                <w:sz w:val="20"/>
                <w:szCs w:val="20"/>
                <w:lang w:eastAsia="en-US"/>
              </w:rPr>
              <w:t>Head of the authority/body</w:t>
            </w:r>
          </w:p>
        </w:tc>
      </w:tr>
      <w:tr w:rsidR="0099587B" w:rsidRPr="00C4514D" w:rsidTr="0099587B">
        <w:trPr>
          <w:trHeight w:val="1"/>
          <w:jc w:val="center"/>
        </w:trPr>
        <w:tc>
          <w:tcPr>
            <w:tcW w:w="2009" w:type="dxa"/>
            <w:tcBorders>
              <w:top w:val="single" w:sz="2" w:space="0" w:color="000000"/>
              <w:left w:val="single" w:sz="2" w:space="0" w:color="000000"/>
              <w:bottom w:val="single" w:sz="2" w:space="0" w:color="000000"/>
              <w:right w:val="single" w:sz="2" w:space="0" w:color="000000"/>
            </w:tcBorders>
          </w:tcPr>
          <w:p w:rsidR="0099587B" w:rsidRPr="00C4514D" w:rsidRDefault="0099587B" w:rsidP="00416153">
            <w:pPr>
              <w:autoSpaceDE w:val="0"/>
              <w:autoSpaceDN w:val="0"/>
              <w:adjustRightInd w:val="0"/>
              <w:spacing w:before="120"/>
              <w:jc w:val="both"/>
              <w:rPr>
                <w:rFonts w:ascii="Verdana" w:eastAsia="Cambria" w:hAnsi="Verdana" w:cs="Arial"/>
                <w:sz w:val="20"/>
                <w:szCs w:val="20"/>
                <w:lang w:eastAsia="en-US"/>
              </w:rPr>
            </w:pPr>
            <w:r w:rsidRPr="00C4514D">
              <w:rPr>
                <w:rFonts w:ascii="Verdana" w:eastAsia="Cambria" w:hAnsi="Verdana" w:cs="Arial"/>
                <w:sz w:val="20"/>
                <w:szCs w:val="20"/>
                <w:lang w:eastAsia="en-US"/>
              </w:rPr>
              <w:t xml:space="preserve">Managing Authority </w:t>
            </w:r>
          </w:p>
        </w:tc>
        <w:tc>
          <w:tcPr>
            <w:tcW w:w="4394" w:type="dxa"/>
            <w:tcBorders>
              <w:top w:val="single" w:sz="2" w:space="0" w:color="000000"/>
              <w:left w:val="single" w:sz="2" w:space="0" w:color="000000"/>
              <w:bottom w:val="single" w:sz="2" w:space="0" w:color="000000"/>
              <w:right w:val="single" w:sz="2" w:space="0" w:color="000000"/>
            </w:tcBorders>
          </w:tcPr>
          <w:p w:rsidR="0099587B" w:rsidRPr="00C4514D" w:rsidRDefault="00364438" w:rsidP="00416153">
            <w:pPr>
              <w:autoSpaceDE w:val="0"/>
              <w:autoSpaceDN w:val="0"/>
              <w:adjustRightInd w:val="0"/>
              <w:spacing w:before="120"/>
              <w:jc w:val="both"/>
              <w:rPr>
                <w:rFonts w:ascii="Verdana" w:eastAsia="Cambria" w:hAnsi="Verdana" w:cs="Arial"/>
                <w:b/>
                <w:sz w:val="20"/>
                <w:szCs w:val="20"/>
                <w:lang w:val="fr-FR" w:eastAsia="en-US"/>
              </w:rPr>
            </w:pPr>
            <w:r w:rsidRPr="00C4514D">
              <w:rPr>
                <w:rFonts w:ascii="Verdana" w:hAnsi="Verdana"/>
                <w:sz w:val="20"/>
                <w:szCs w:val="20"/>
                <w:lang w:val="fr-FR"/>
              </w:rPr>
              <w:t>Commissariat Général à l’Egalité des Territoires</w:t>
            </w:r>
            <w:r w:rsidRPr="00C4514D">
              <w:rPr>
                <w:rFonts w:ascii="Verdana" w:eastAsia="Cambria" w:hAnsi="Verdana" w:cs="Arial"/>
                <w:b/>
                <w:sz w:val="20"/>
                <w:szCs w:val="20"/>
                <w:lang w:val="fr-FR" w:eastAsia="en-US"/>
              </w:rPr>
              <w:t xml:space="preserve"> (CGET)</w:t>
            </w:r>
          </w:p>
          <w:p w:rsidR="0099587B" w:rsidRPr="00C4514D" w:rsidRDefault="0099587B" w:rsidP="00416153">
            <w:pPr>
              <w:tabs>
                <w:tab w:val="left" w:pos="1520"/>
              </w:tabs>
              <w:autoSpaceDE w:val="0"/>
              <w:autoSpaceDN w:val="0"/>
              <w:adjustRightInd w:val="0"/>
              <w:spacing w:before="120" w:after="28" w:line="200" w:lineRule="atLeast"/>
              <w:jc w:val="both"/>
              <w:textAlignment w:val="center"/>
              <w:rPr>
                <w:rFonts w:ascii="Verdana" w:eastAsia="Cambria" w:hAnsi="Verdana" w:cs="Arial"/>
                <w:sz w:val="20"/>
                <w:szCs w:val="20"/>
                <w:lang w:val="fr-FR" w:eastAsia="en-US"/>
              </w:rPr>
            </w:pPr>
          </w:p>
        </w:tc>
        <w:tc>
          <w:tcPr>
            <w:tcW w:w="2430" w:type="dxa"/>
            <w:tcBorders>
              <w:top w:val="single" w:sz="2" w:space="0" w:color="000000"/>
              <w:left w:val="single" w:sz="2" w:space="0" w:color="000000"/>
              <w:bottom w:val="single" w:sz="2" w:space="0" w:color="000000"/>
              <w:right w:val="single" w:sz="2" w:space="0" w:color="000000"/>
            </w:tcBorders>
          </w:tcPr>
          <w:p w:rsidR="0099587B" w:rsidRPr="00C4514D" w:rsidRDefault="000F5065" w:rsidP="00416153">
            <w:pPr>
              <w:autoSpaceDE w:val="0"/>
              <w:autoSpaceDN w:val="0"/>
              <w:adjustRightInd w:val="0"/>
              <w:spacing w:before="120"/>
              <w:jc w:val="both"/>
              <w:rPr>
                <w:rFonts w:ascii="Verdana" w:eastAsia="Cambria" w:hAnsi="Verdana" w:cs="Arial"/>
                <w:sz w:val="20"/>
                <w:szCs w:val="20"/>
                <w:lang w:eastAsia="en-US"/>
              </w:rPr>
            </w:pPr>
            <w:r w:rsidRPr="00C4514D">
              <w:rPr>
                <w:rFonts w:ascii="Verdana" w:eastAsia="Cambria" w:hAnsi="Verdana" w:cs="Arial"/>
                <w:sz w:val="20"/>
                <w:szCs w:val="20"/>
                <w:lang w:eastAsia="en-US"/>
              </w:rPr>
              <w:t>Raphaël Le Méhauté</w:t>
            </w:r>
          </w:p>
        </w:tc>
      </w:tr>
      <w:tr w:rsidR="0099587B" w:rsidRPr="00C4514D" w:rsidTr="0099587B">
        <w:trPr>
          <w:trHeight w:val="1"/>
          <w:jc w:val="center"/>
        </w:trPr>
        <w:tc>
          <w:tcPr>
            <w:tcW w:w="2009" w:type="dxa"/>
            <w:tcBorders>
              <w:top w:val="single" w:sz="2" w:space="0" w:color="000000"/>
              <w:left w:val="single" w:sz="2" w:space="0" w:color="000000"/>
              <w:bottom w:val="single" w:sz="2" w:space="0" w:color="000000"/>
              <w:right w:val="single" w:sz="2" w:space="0" w:color="000000"/>
            </w:tcBorders>
          </w:tcPr>
          <w:p w:rsidR="0099587B" w:rsidRPr="00C4514D" w:rsidRDefault="0099587B" w:rsidP="00416153">
            <w:pPr>
              <w:autoSpaceDE w:val="0"/>
              <w:autoSpaceDN w:val="0"/>
              <w:adjustRightInd w:val="0"/>
              <w:spacing w:before="120"/>
              <w:jc w:val="both"/>
              <w:rPr>
                <w:rFonts w:ascii="Verdana" w:eastAsia="Cambria" w:hAnsi="Verdana" w:cs="Arial"/>
                <w:sz w:val="20"/>
                <w:szCs w:val="20"/>
                <w:lang w:eastAsia="en-US"/>
              </w:rPr>
            </w:pPr>
            <w:r w:rsidRPr="00C4514D">
              <w:rPr>
                <w:rFonts w:ascii="Verdana" w:eastAsia="Cambria" w:hAnsi="Verdana" w:cs="Arial"/>
                <w:sz w:val="20"/>
                <w:szCs w:val="20"/>
                <w:lang w:eastAsia="en-US"/>
              </w:rPr>
              <w:t>Certifying authority</w:t>
            </w:r>
          </w:p>
        </w:tc>
        <w:tc>
          <w:tcPr>
            <w:tcW w:w="4394" w:type="dxa"/>
            <w:tcBorders>
              <w:top w:val="single" w:sz="2" w:space="0" w:color="000000"/>
              <w:left w:val="single" w:sz="2" w:space="0" w:color="000000"/>
              <w:bottom w:val="single" w:sz="2" w:space="0" w:color="000000"/>
              <w:right w:val="single" w:sz="2" w:space="0" w:color="000000"/>
            </w:tcBorders>
          </w:tcPr>
          <w:p w:rsidR="0099587B" w:rsidRPr="00C4514D" w:rsidRDefault="00364438" w:rsidP="00416153">
            <w:pPr>
              <w:autoSpaceDE w:val="0"/>
              <w:autoSpaceDN w:val="0"/>
              <w:adjustRightInd w:val="0"/>
              <w:spacing w:before="120"/>
              <w:jc w:val="both"/>
              <w:rPr>
                <w:rFonts w:ascii="Verdana" w:eastAsia="Cambria" w:hAnsi="Verdana" w:cs="Arial"/>
                <w:b/>
                <w:sz w:val="20"/>
                <w:szCs w:val="20"/>
                <w:lang w:val="fr-FR" w:eastAsia="en-US"/>
              </w:rPr>
            </w:pPr>
            <w:r w:rsidRPr="00C4514D">
              <w:rPr>
                <w:rFonts w:ascii="Verdana" w:hAnsi="Verdana"/>
                <w:sz w:val="20"/>
                <w:szCs w:val="20"/>
                <w:lang w:val="fr-FR"/>
              </w:rPr>
              <w:t>Commissariat Général à l’Egalité des Territoires</w:t>
            </w:r>
            <w:r w:rsidRPr="00C4514D">
              <w:rPr>
                <w:rFonts w:ascii="Verdana" w:eastAsia="Cambria" w:hAnsi="Verdana" w:cs="Arial"/>
                <w:b/>
                <w:sz w:val="20"/>
                <w:szCs w:val="20"/>
                <w:lang w:val="fr-FR" w:eastAsia="en-US"/>
              </w:rPr>
              <w:t xml:space="preserve"> (CGET)</w:t>
            </w:r>
          </w:p>
          <w:p w:rsidR="0099587B" w:rsidRPr="00C4514D" w:rsidRDefault="0099587B" w:rsidP="00416153">
            <w:pPr>
              <w:autoSpaceDE w:val="0"/>
              <w:autoSpaceDN w:val="0"/>
              <w:adjustRightInd w:val="0"/>
              <w:spacing w:before="120"/>
              <w:jc w:val="both"/>
              <w:rPr>
                <w:rFonts w:ascii="Verdana" w:eastAsia="Cambria" w:hAnsi="Verdana" w:cs="Arial"/>
                <w:sz w:val="20"/>
                <w:szCs w:val="20"/>
                <w:lang w:val="fr-FR" w:eastAsia="en-US"/>
              </w:rPr>
            </w:pPr>
          </w:p>
        </w:tc>
        <w:tc>
          <w:tcPr>
            <w:tcW w:w="2430" w:type="dxa"/>
            <w:tcBorders>
              <w:top w:val="single" w:sz="2" w:space="0" w:color="000000"/>
              <w:left w:val="single" w:sz="2" w:space="0" w:color="000000"/>
              <w:bottom w:val="single" w:sz="2" w:space="0" w:color="000000"/>
              <w:right w:val="single" w:sz="2" w:space="0" w:color="000000"/>
            </w:tcBorders>
          </w:tcPr>
          <w:p w:rsidR="0099587B" w:rsidRPr="00C4514D" w:rsidRDefault="0099587B" w:rsidP="00416153">
            <w:pPr>
              <w:autoSpaceDE w:val="0"/>
              <w:autoSpaceDN w:val="0"/>
              <w:adjustRightInd w:val="0"/>
              <w:spacing w:before="120"/>
              <w:jc w:val="both"/>
              <w:rPr>
                <w:rFonts w:ascii="Verdana" w:eastAsia="Cambria" w:hAnsi="Verdana" w:cs="Arial"/>
                <w:sz w:val="20"/>
                <w:szCs w:val="20"/>
                <w:lang w:eastAsia="en-US"/>
              </w:rPr>
            </w:pPr>
            <w:r w:rsidRPr="00C4514D">
              <w:rPr>
                <w:rFonts w:ascii="Verdana" w:eastAsia="Cambria" w:hAnsi="Verdana" w:cs="Arial"/>
                <w:sz w:val="20"/>
                <w:szCs w:val="20"/>
                <w:lang w:eastAsia="en-US"/>
              </w:rPr>
              <w:t>To be specified</w:t>
            </w:r>
          </w:p>
        </w:tc>
      </w:tr>
      <w:tr w:rsidR="0099587B" w:rsidRPr="00C4514D" w:rsidTr="0099587B">
        <w:trPr>
          <w:trHeight w:val="1"/>
          <w:jc w:val="center"/>
        </w:trPr>
        <w:tc>
          <w:tcPr>
            <w:tcW w:w="2009" w:type="dxa"/>
            <w:tcBorders>
              <w:top w:val="single" w:sz="2" w:space="0" w:color="000000"/>
              <w:left w:val="single" w:sz="2" w:space="0" w:color="000000"/>
              <w:bottom w:val="single" w:sz="2" w:space="0" w:color="000000"/>
              <w:right w:val="single" w:sz="2" w:space="0" w:color="000000"/>
            </w:tcBorders>
          </w:tcPr>
          <w:p w:rsidR="0099587B" w:rsidRPr="00C4514D" w:rsidRDefault="0099587B" w:rsidP="00416153">
            <w:pPr>
              <w:autoSpaceDE w:val="0"/>
              <w:autoSpaceDN w:val="0"/>
              <w:adjustRightInd w:val="0"/>
              <w:spacing w:before="120"/>
              <w:jc w:val="both"/>
              <w:rPr>
                <w:rFonts w:ascii="Verdana" w:eastAsia="Cambria" w:hAnsi="Verdana" w:cs="Arial"/>
                <w:sz w:val="20"/>
                <w:szCs w:val="20"/>
                <w:lang w:eastAsia="en-US"/>
              </w:rPr>
            </w:pPr>
            <w:r w:rsidRPr="00C4514D">
              <w:rPr>
                <w:rFonts w:ascii="Verdana" w:eastAsia="Cambria" w:hAnsi="Verdana" w:cs="Arial"/>
                <w:sz w:val="20"/>
                <w:szCs w:val="20"/>
                <w:lang w:eastAsia="en-US"/>
              </w:rPr>
              <w:t>Audit authority</w:t>
            </w:r>
          </w:p>
        </w:tc>
        <w:tc>
          <w:tcPr>
            <w:tcW w:w="4394" w:type="dxa"/>
            <w:tcBorders>
              <w:top w:val="single" w:sz="2" w:space="0" w:color="000000"/>
              <w:left w:val="single" w:sz="2" w:space="0" w:color="000000"/>
              <w:bottom w:val="single" w:sz="2" w:space="0" w:color="000000"/>
              <w:right w:val="single" w:sz="2" w:space="0" w:color="000000"/>
            </w:tcBorders>
          </w:tcPr>
          <w:p w:rsidR="0099587B" w:rsidRPr="00C4514D" w:rsidRDefault="00364438" w:rsidP="00416153">
            <w:pPr>
              <w:autoSpaceDE w:val="0"/>
              <w:autoSpaceDN w:val="0"/>
              <w:adjustRightInd w:val="0"/>
              <w:spacing w:before="120"/>
              <w:jc w:val="both"/>
              <w:rPr>
                <w:rFonts w:ascii="Verdana" w:eastAsia="MS Mincho" w:hAnsi="Verdana" w:cs="Arial"/>
                <w:sz w:val="20"/>
                <w:szCs w:val="20"/>
                <w:lang w:val="fr-FR" w:eastAsia="ja-JP"/>
              </w:rPr>
            </w:pPr>
            <w:r w:rsidRPr="00C4514D">
              <w:rPr>
                <w:rFonts w:ascii="Verdana" w:eastAsia="MS Mincho" w:hAnsi="Verdana" w:cs="Arial"/>
                <w:b/>
                <w:bCs/>
                <w:sz w:val="20"/>
                <w:szCs w:val="20"/>
                <w:lang w:val="fr-FR" w:eastAsia="ja-JP"/>
              </w:rPr>
              <w:t>Commission Interministérielle de Coordination des Contrôles des Opérations cofinancées par les Fonds Européens” (CICC)</w:t>
            </w:r>
          </w:p>
          <w:p w:rsidR="0099587B" w:rsidRPr="00C4514D" w:rsidRDefault="00364438" w:rsidP="00416153">
            <w:pPr>
              <w:autoSpaceDE w:val="0"/>
              <w:autoSpaceDN w:val="0"/>
              <w:adjustRightInd w:val="0"/>
              <w:spacing w:before="120"/>
              <w:jc w:val="both"/>
              <w:rPr>
                <w:rFonts w:ascii="Verdana" w:eastAsia="MS Mincho" w:hAnsi="Verdana" w:cs="Arial"/>
                <w:sz w:val="20"/>
                <w:szCs w:val="20"/>
                <w:lang w:val="fr-FR" w:eastAsia="ja-JP"/>
              </w:rPr>
            </w:pPr>
            <w:r w:rsidRPr="00C4514D">
              <w:rPr>
                <w:rFonts w:ascii="Verdana" w:eastAsia="MS Mincho" w:hAnsi="Verdana" w:cs="Arial"/>
                <w:sz w:val="20"/>
                <w:szCs w:val="20"/>
                <w:lang w:val="fr-FR" w:eastAsia="ja-JP"/>
              </w:rPr>
              <w:t>5, place des Vins-de-France</w:t>
            </w:r>
          </w:p>
          <w:p w:rsidR="0099587B" w:rsidRPr="00C4514D" w:rsidRDefault="00364438" w:rsidP="00416153">
            <w:pPr>
              <w:autoSpaceDE w:val="0"/>
              <w:autoSpaceDN w:val="0"/>
              <w:adjustRightInd w:val="0"/>
              <w:spacing w:before="120"/>
              <w:jc w:val="both"/>
              <w:rPr>
                <w:rFonts w:ascii="Verdana" w:eastAsia="Cambria" w:hAnsi="Verdana" w:cs="Arial"/>
                <w:sz w:val="20"/>
                <w:szCs w:val="20"/>
                <w:lang w:val="fr-FR" w:eastAsia="en-US"/>
              </w:rPr>
            </w:pPr>
            <w:r w:rsidRPr="00C4514D">
              <w:rPr>
                <w:rFonts w:ascii="Verdana" w:eastAsia="MS Mincho" w:hAnsi="Verdana" w:cs="Arial"/>
                <w:sz w:val="20"/>
                <w:szCs w:val="20"/>
                <w:lang w:val="fr-FR" w:eastAsia="ja-JP"/>
              </w:rPr>
              <w:t>75573 Paris Cedex 12 FRANCE</w:t>
            </w:r>
          </w:p>
        </w:tc>
        <w:tc>
          <w:tcPr>
            <w:tcW w:w="2430" w:type="dxa"/>
            <w:tcBorders>
              <w:top w:val="single" w:sz="2" w:space="0" w:color="000000"/>
              <w:left w:val="single" w:sz="2" w:space="0" w:color="000000"/>
              <w:bottom w:val="single" w:sz="2" w:space="0" w:color="000000"/>
              <w:right w:val="single" w:sz="2" w:space="0" w:color="000000"/>
            </w:tcBorders>
          </w:tcPr>
          <w:p w:rsidR="0099587B" w:rsidRPr="00C4514D" w:rsidRDefault="0099587B" w:rsidP="00416153">
            <w:pPr>
              <w:autoSpaceDE w:val="0"/>
              <w:autoSpaceDN w:val="0"/>
              <w:adjustRightInd w:val="0"/>
              <w:spacing w:before="120"/>
              <w:jc w:val="both"/>
              <w:rPr>
                <w:rFonts w:ascii="Verdana" w:eastAsia="Cambria" w:hAnsi="Verdana" w:cs="Arial"/>
                <w:sz w:val="20"/>
                <w:szCs w:val="20"/>
                <w:lang w:eastAsia="en-US"/>
              </w:rPr>
            </w:pPr>
            <w:r w:rsidRPr="00C4514D">
              <w:rPr>
                <w:rFonts w:ascii="Verdana" w:eastAsia="Cambria" w:hAnsi="Verdana" w:cs="Arial"/>
                <w:sz w:val="20"/>
                <w:szCs w:val="20"/>
                <w:lang w:eastAsia="en-US"/>
              </w:rPr>
              <w:t>Jean-Louis ROUQUETTE</w:t>
            </w:r>
          </w:p>
        </w:tc>
      </w:tr>
    </w:tbl>
    <w:p w:rsidR="0099587B" w:rsidRPr="004F5F2B" w:rsidRDefault="0099587B" w:rsidP="0099587B">
      <w:pPr>
        <w:autoSpaceDE w:val="0"/>
        <w:autoSpaceDN w:val="0"/>
        <w:adjustRightInd w:val="0"/>
        <w:jc w:val="both"/>
        <w:rPr>
          <w:rFonts w:ascii="Verdana" w:eastAsia="Cambria" w:hAnsi="Verdana"/>
          <w:b/>
          <w:i/>
          <w:lang w:eastAsia="en-US"/>
        </w:rPr>
      </w:pPr>
    </w:p>
    <w:p w:rsidR="0099587B" w:rsidRPr="004F5F2B" w:rsidRDefault="0099587B" w:rsidP="0099587B">
      <w:pPr>
        <w:autoSpaceDE w:val="0"/>
        <w:autoSpaceDN w:val="0"/>
        <w:adjustRightInd w:val="0"/>
        <w:jc w:val="both"/>
        <w:rPr>
          <w:rFonts w:ascii="Verdana" w:eastAsia="Cambria" w:hAnsi="Verdana"/>
          <w:b/>
          <w:i/>
          <w:lang w:eastAsia="en-US"/>
        </w:rPr>
      </w:pPr>
    </w:p>
    <w:p w:rsidR="0099587B" w:rsidRPr="00C4514D" w:rsidRDefault="0099587B" w:rsidP="0099587B">
      <w:pPr>
        <w:autoSpaceDE w:val="0"/>
        <w:autoSpaceDN w:val="0"/>
        <w:adjustRightInd w:val="0"/>
        <w:jc w:val="both"/>
        <w:rPr>
          <w:rFonts w:ascii="Verdana" w:eastAsia="Cambria" w:hAnsi="Verdana"/>
          <w:b/>
          <w:sz w:val="22"/>
          <w:szCs w:val="22"/>
          <w:lang w:eastAsia="en-US"/>
        </w:rPr>
      </w:pPr>
      <w:r w:rsidRPr="00C4514D">
        <w:rPr>
          <w:rFonts w:ascii="Verdana" w:eastAsia="Cambria" w:hAnsi="Verdana"/>
          <w:b/>
          <w:sz w:val="22"/>
          <w:szCs w:val="22"/>
          <w:lang w:eastAsia="en-US"/>
        </w:rPr>
        <w:t>Table 22 The body to which payments will be made by the Commission is:</w:t>
      </w:r>
    </w:p>
    <w:p w:rsidR="0099587B" w:rsidRPr="004F5F2B" w:rsidRDefault="0099587B" w:rsidP="0099587B">
      <w:pPr>
        <w:autoSpaceDE w:val="0"/>
        <w:autoSpaceDN w:val="0"/>
        <w:adjustRightInd w:val="0"/>
        <w:jc w:val="both"/>
        <w:rPr>
          <w:rFonts w:ascii="Verdana" w:eastAsia="Cambria" w:hAnsi="Verdana"/>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801"/>
      </w:tblGrid>
      <w:tr w:rsidR="0099587B" w:rsidRPr="00C4514D" w:rsidTr="000265F1">
        <w:tc>
          <w:tcPr>
            <w:tcW w:w="3652" w:type="dxa"/>
          </w:tcPr>
          <w:p w:rsidR="0099587B" w:rsidRPr="00C4514D" w:rsidRDefault="0099587B" w:rsidP="0099587B">
            <w:pPr>
              <w:autoSpaceDE w:val="0"/>
              <w:autoSpaceDN w:val="0"/>
              <w:adjustRightInd w:val="0"/>
              <w:rPr>
                <w:rFonts w:ascii="Verdana" w:eastAsia="Cambria" w:hAnsi="Verdana"/>
                <w:b/>
                <w:sz w:val="20"/>
                <w:szCs w:val="20"/>
                <w:lang w:eastAsia="en-US"/>
              </w:rPr>
            </w:pPr>
          </w:p>
          <w:p w:rsidR="0099587B" w:rsidRPr="00C4514D" w:rsidRDefault="00A35CE3" w:rsidP="0099587B">
            <w:pPr>
              <w:autoSpaceDE w:val="0"/>
              <w:autoSpaceDN w:val="0"/>
              <w:adjustRightInd w:val="0"/>
              <w:rPr>
                <w:rFonts w:ascii="Verdana" w:eastAsia="Cambria" w:hAnsi="Verdana"/>
                <w:b/>
                <w:sz w:val="20"/>
                <w:szCs w:val="20"/>
                <w:lang w:eastAsia="en-US"/>
              </w:rPr>
            </w:pPr>
            <m:oMath>
              <m:r>
                <m:rPr>
                  <m:sty m:val="bi"/>
                </m:rPr>
                <w:rPr>
                  <w:rFonts w:ascii="Verdana" w:eastAsia="Cambria" w:hAnsi="Verdana"/>
                  <w:sz w:val="20"/>
                  <w:szCs w:val="20"/>
                  <w:lang w:eastAsia="en-US"/>
                </w:rPr>
                <m:t>□</m:t>
              </m:r>
            </m:oMath>
            <w:r w:rsidR="0099587B" w:rsidRPr="00C4514D">
              <w:rPr>
                <w:rFonts w:ascii="Verdana" w:eastAsia="Cambria" w:hAnsi="Verdana"/>
                <w:b/>
                <w:sz w:val="20"/>
                <w:szCs w:val="20"/>
                <w:lang w:eastAsia="en-US"/>
              </w:rPr>
              <w:t xml:space="preserve">  the managing authority</w:t>
            </w:r>
          </w:p>
          <w:p w:rsidR="0099587B" w:rsidRPr="00C4514D" w:rsidRDefault="0099587B" w:rsidP="0099587B">
            <w:pPr>
              <w:autoSpaceDE w:val="0"/>
              <w:autoSpaceDN w:val="0"/>
              <w:adjustRightInd w:val="0"/>
              <w:rPr>
                <w:rFonts w:ascii="Verdana" w:eastAsia="Cambria" w:hAnsi="Verdana"/>
                <w:b/>
                <w:sz w:val="20"/>
                <w:szCs w:val="20"/>
                <w:lang w:eastAsia="en-US"/>
              </w:rPr>
            </w:pPr>
          </w:p>
        </w:tc>
        <w:tc>
          <w:tcPr>
            <w:tcW w:w="6233" w:type="dxa"/>
          </w:tcPr>
          <w:p w:rsidR="0099587B" w:rsidRPr="00C4514D" w:rsidRDefault="0099587B" w:rsidP="0099587B">
            <w:pPr>
              <w:autoSpaceDE w:val="0"/>
              <w:autoSpaceDN w:val="0"/>
              <w:adjustRightInd w:val="0"/>
              <w:jc w:val="both"/>
              <w:rPr>
                <w:rFonts w:ascii="Verdana" w:eastAsia="Cambria" w:hAnsi="Verdana"/>
                <w:b/>
                <w:sz w:val="20"/>
                <w:szCs w:val="20"/>
                <w:lang w:eastAsia="en-US"/>
              </w:rPr>
            </w:pPr>
          </w:p>
        </w:tc>
      </w:tr>
      <w:tr w:rsidR="0099587B" w:rsidRPr="00C4514D" w:rsidTr="000265F1">
        <w:tc>
          <w:tcPr>
            <w:tcW w:w="3652" w:type="dxa"/>
          </w:tcPr>
          <w:p w:rsidR="0099587B" w:rsidRPr="00C4514D" w:rsidRDefault="0099587B" w:rsidP="0099587B">
            <w:pPr>
              <w:autoSpaceDE w:val="0"/>
              <w:autoSpaceDN w:val="0"/>
              <w:adjustRightInd w:val="0"/>
              <w:rPr>
                <w:rFonts w:ascii="Verdana" w:eastAsia="Cambria" w:hAnsi="Verdana"/>
                <w:b/>
                <w:sz w:val="20"/>
                <w:szCs w:val="20"/>
                <w:lang w:eastAsia="en-US"/>
              </w:rPr>
            </w:pPr>
          </w:p>
          <w:p w:rsidR="0099587B" w:rsidRPr="00C4514D" w:rsidRDefault="00EF40E4" w:rsidP="0099587B">
            <w:pPr>
              <w:autoSpaceDE w:val="0"/>
              <w:autoSpaceDN w:val="0"/>
              <w:adjustRightInd w:val="0"/>
              <w:rPr>
                <w:rFonts w:ascii="Verdana" w:eastAsia="Cambria" w:hAnsi="Verdana"/>
                <w:b/>
                <w:sz w:val="20"/>
                <w:szCs w:val="20"/>
                <w:lang w:eastAsia="en-US"/>
              </w:rPr>
            </w:pPr>
            <m:oMath>
              <m:r>
                <m:rPr>
                  <m:sty m:val="b"/>
                </m:rPr>
                <w:rPr>
                  <w:rFonts w:ascii="Cambria Math" w:eastAsia="Cambria" w:hAnsi="Cambria Math"/>
                  <w:sz w:val="20"/>
                  <w:szCs w:val="20"/>
                  <w:lang w:eastAsia="en-US"/>
                </w:rPr>
                <m:t>X</m:t>
              </m:r>
            </m:oMath>
            <w:r w:rsidR="0099587B" w:rsidRPr="00C4514D">
              <w:rPr>
                <w:rFonts w:ascii="Verdana" w:eastAsia="Cambria" w:hAnsi="Verdana"/>
                <w:b/>
                <w:sz w:val="20"/>
                <w:szCs w:val="20"/>
                <w:lang w:eastAsia="en-US"/>
              </w:rPr>
              <w:t xml:space="preserve">  the certifiying authority</w:t>
            </w:r>
          </w:p>
          <w:p w:rsidR="0099587B" w:rsidRPr="00C4514D" w:rsidRDefault="0099587B" w:rsidP="0099587B">
            <w:pPr>
              <w:autoSpaceDE w:val="0"/>
              <w:autoSpaceDN w:val="0"/>
              <w:adjustRightInd w:val="0"/>
              <w:rPr>
                <w:rFonts w:ascii="Verdana" w:eastAsia="Cambria" w:hAnsi="Verdana"/>
                <w:b/>
                <w:sz w:val="20"/>
                <w:szCs w:val="20"/>
                <w:lang w:eastAsia="en-US"/>
              </w:rPr>
            </w:pPr>
          </w:p>
          <w:p w:rsidR="0099587B" w:rsidRPr="00C4514D" w:rsidRDefault="0099587B" w:rsidP="0099587B">
            <w:pPr>
              <w:autoSpaceDE w:val="0"/>
              <w:autoSpaceDN w:val="0"/>
              <w:adjustRightInd w:val="0"/>
              <w:rPr>
                <w:rFonts w:ascii="Verdana" w:eastAsia="Cambria" w:hAnsi="Verdana"/>
                <w:b/>
                <w:sz w:val="20"/>
                <w:szCs w:val="20"/>
                <w:lang w:eastAsia="en-US"/>
              </w:rPr>
            </w:pPr>
          </w:p>
        </w:tc>
        <w:tc>
          <w:tcPr>
            <w:tcW w:w="6233" w:type="dxa"/>
          </w:tcPr>
          <w:p w:rsidR="0099587B" w:rsidRPr="00C4514D" w:rsidRDefault="0099587B" w:rsidP="0099587B">
            <w:pPr>
              <w:autoSpaceDE w:val="0"/>
              <w:autoSpaceDN w:val="0"/>
              <w:adjustRightInd w:val="0"/>
              <w:jc w:val="both"/>
              <w:rPr>
                <w:rFonts w:ascii="Verdana" w:eastAsia="Cambria" w:hAnsi="Verdana"/>
                <w:b/>
                <w:sz w:val="20"/>
                <w:szCs w:val="20"/>
                <w:lang w:eastAsia="en-US"/>
              </w:rPr>
            </w:pPr>
          </w:p>
        </w:tc>
      </w:tr>
    </w:tbl>
    <w:p w:rsidR="0099587B" w:rsidRPr="004F5F2B" w:rsidRDefault="0099587B" w:rsidP="0099587B">
      <w:pPr>
        <w:autoSpaceDE w:val="0"/>
        <w:autoSpaceDN w:val="0"/>
        <w:adjustRightInd w:val="0"/>
        <w:jc w:val="both"/>
        <w:rPr>
          <w:rFonts w:ascii="Verdana" w:eastAsia="Cambria" w:hAnsi="Verdana"/>
          <w:b/>
          <w:lang w:eastAsia="en-US"/>
        </w:rPr>
      </w:pPr>
    </w:p>
    <w:p w:rsidR="0099587B" w:rsidRPr="00C4514D" w:rsidRDefault="0099587B" w:rsidP="0099587B">
      <w:pPr>
        <w:autoSpaceDE w:val="0"/>
        <w:autoSpaceDN w:val="0"/>
        <w:adjustRightInd w:val="0"/>
        <w:jc w:val="both"/>
        <w:rPr>
          <w:rFonts w:ascii="Verdana" w:eastAsia="Cambria" w:hAnsi="Verdana"/>
          <w:b/>
          <w:i/>
          <w:sz w:val="22"/>
          <w:szCs w:val="22"/>
          <w:lang w:eastAsia="en-US"/>
        </w:rPr>
      </w:pPr>
    </w:p>
    <w:p w:rsidR="0099587B" w:rsidRPr="00C4514D" w:rsidRDefault="0099587B" w:rsidP="0099587B">
      <w:pPr>
        <w:autoSpaceDE w:val="0"/>
        <w:autoSpaceDN w:val="0"/>
        <w:adjustRightInd w:val="0"/>
        <w:jc w:val="both"/>
        <w:rPr>
          <w:rFonts w:ascii="Verdana" w:eastAsia="Cambria" w:hAnsi="Verdana"/>
          <w:b/>
          <w:bCs/>
          <w:sz w:val="22"/>
          <w:szCs w:val="22"/>
          <w:lang w:eastAsia="en-US"/>
        </w:rPr>
      </w:pPr>
      <w:r w:rsidRPr="00C4514D">
        <w:rPr>
          <w:rFonts w:ascii="Verdana" w:eastAsia="Cambria" w:hAnsi="Verdana"/>
          <w:b/>
          <w:bCs/>
          <w:sz w:val="22"/>
          <w:szCs w:val="22"/>
          <w:lang w:eastAsia="en-US"/>
        </w:rPr>
        <w:t>Table 23 Identification of the body or bodies carrying out control and audit tasks</w:t>
      </w:r>
    </w:p>
    <w:p w:rsidR="000265F1" w:rsidRPr="004F5F2B" w:rsidRDefault="000265F1" w:rsidP="0099587B">
      <w:pPr>
        <w:autoSpaceDE w:val="0"/>
        <w:autoSpaceDN w:val="0"/>
        <w:adjustRightInd w:val="0"/>
        <w:jc w:val="both"/>
        <w:rPr>
          <w:rFonts w:ascii="Verdana" w:eastAsia="Cambria" w:hAnsi="Verdana" w:cs="Arial"/>
          <w:b/>
          <w:bCs/>
          <w:lang w:eastAsia="ar-SA"/>
        </w:rPr>
      </w:pPr>
    </w:p>
    <w:tbl>
      <w:tblPr>
        <w:tblW w:w="0" w:type="auto"/>
        <w:jc w:val="center"/>
        <w:tblLayout w:type="fixed"/>
        <w:tblLook w:val="0000" w:firstRow="0" w:lastRow="0" w:firstColumn="0" w:lastColumn="0" w:noHBand="0" w:noVBand="0"/>
      </w:tblPr>
      <w:tblGrid>
        <w:gridCol w:w="2009"/>
        <w:gridCol w:w="4394"/>
        <w:gridCol w:w="2430"/>
      </w:tblGrid>
      <w:tr w:rsidR="0099587B" w:rsidRPr="00C4514D" w:rsidTr="00C4514D">
        <w:trPr>
          <w:trHeight w:val="1"/>
          <w:jc w:val="center"/>
        </w:trPr>
        <w:tc>
          <w:tcPr>
            <w:tcW w:w="2009" w:type="dxa"/>
            <w:tcBorders>
              <w:top w:val="single" w:sz="2" w:space="0" w:color="000000"/>
              <w:left w:val="single" w:sz="2" w:space="0" w:color="000000"/>
              <w:bottom w:val="single" w:sz="2" w:space="0" w:color="000000"/>
              <w:right w:val="single" w:sz="2" w:space="0" w:color="000000"/>
            </w:tcBorders>
            <w:shd w:val="clear" w:color="auto" w:fill="DBE5F1"/>
            <w:vAlign w:val="center"/>
          </w:tcPr>
          <w:p w:rsidR="0099587B" w:rsidRPr="00C4514D" w:rsidRDefault="0099587B" w:rsidP="00C4514D">
            <w:pPr>
              <w:autoSpaceDE w:val="0"/>
              <w:autoSpaceDN w:val="0"/>
              <w:adjustRightInd w:val="0"/>
              <w:jc w:val="center"/>
              <w:rPr>
                <w:rFonts w:ascii="Verdana" w:eastAsia="Cambria" w:hAnsi="Verdana"/>
                <w:b/>
                <w:bCs/>
                <w:sz w:val="20"/>
                <w:szCs w:val="20"/>
                <w:lang w:eastAsia="en-US"/>
              </w:rPr>
            </w:pPr>
            <w:r w:rsidRPr="00C4514D">
              <w:rPr>
                <w:rFonts w:ascii="Verdana" w:eastAsia="Cambria" w:hAnsi="Verdana"/>
                <w:b/>
                <w:bCs/>
                <w:sz w:val="20"/>
                <w:szCs w:val="20"/>
                <w:lang w:eastAsia="en-US"/>
              </w:rPr>
              <w:t>Authority/</w:t>
            </w:r>
          </w:p>
          <w:p w:rsidR="0099587B" w:rsidRPr="00C4514D" w:rsidRDefault="0099587B" w:rsidP="00C4514D">
            <w:pPr>
              <w:autoSpaceDE w:val="0"/>
              <w:autoSpaceDN w:val="0"/>
              <w:adjustRightInd w:val="0"/>
              <w:jc w:val="center"/>
              <w:rPr>
                <w:rFonts w:ascii="Verdana" w:eastAsia="Cambria" w:hAnsi="Verdana" w:cs="Calibri"/>
                <w:sz w:val="20"/>
                <w:szCs w:val="20"/>
                <w:lang w:eastAsia="en-US"/>
              </w:rPr>
            </w:pPr>
            <w:r w:rsidRPr="00C4514D">
              <w:rPr>
                <w:rFonts w:ascii="Verdana" w:eastAsia="Cambria" w:hAnsi="Verdana"/>
                <w:b/>
                <w:bCs/>
                <w:sz w:val="20"/>
                <w:szCs w:val="20"/>
                <w:lang w:eastAsia="en-US"/>
              </w:rPr>
              <w:t>body</w:t>
            </w:r>
          </w:p>
        </w:tc>
        <w:tc>
          <w:tcPr>
            <w:tcW w:w="4394" w:type="dxa"/>
            <w:tcBorders>
              <w:top w:val="single" w:sz="2" w:space="0" w:color="000000"/>
              <w:left w:val="single" w:sz="2" w:space="0" w:color="000000"/>
              <w:bottom w:val="single" w:sz="2" w:space="0" w:color="000000"/>
              <w:right w:val="single" w:sz="2" w:space="0" w:color="000000"/>
            </w:tcBorders>
            <w:shd w:val="clear" w:color="auto" w:fill="DBE5F1"/>
            <w:vAlign w:val="center"/>
          </w:tcPr>
          <w:p w:rsidR="0099587B" w:rsidRPr="00C4514D" w:rsidRDefault="0099587B" w:rsidP="00C4514D">
            <w:pPr>
              <w:autoSpaceDE w:val="0"/>
              <w:autoSpaceDN w:val="0"/>
              <w:adjustRightInd w:val="0"/>
              <w:jc w:val="center"/>
              <w:rPr>
                <w:rFonts w:ascii="Verdana" w:eastAsia="Cambria" w:hAnsi="Verdana" w:cs="Calibri"/>
                <w:sz w:val="20"/>
                <w:szCs w:val="20"/>
                <w:lang w:eastAsia="en-US"/>
              </w:rPr>
            </w:pPr>
            <w:r w:rsidRPr="00C4514D">
              <w:rPr>
                <w:rFonts w:ascii="Verdana" w:eastAsia="Cambria" w:hAnsi="Verdana"/>
                <w:b/>
                <w:bCs/>
                <w:sz w:val="20"/>
                <w:szCs w:val="20"/>
                <w:lang w:eastAsia="en-US"/>
              </w:rPr>
              <w:t>Name of the authority/body</w:t>
            </w:r>
          </w:p>
        </w:tc>
        <w:tc>
          <w:tcPr>
            <w:tcW w:w="2430" w:type="dxa"/>
            <w:tcBorders>
              <w:top w:val="single" w:sz="2" w:space="0" w:color="000000"/>
              <w:left w:val="single" w:sz="2" w:space="0" w:color="000000"/>
              <w:bottom w:val="single" w:sz="2" w:space="0" w:color="000000"/>
              <w:right w:val="single" w:sz="2" w:space="0" w:color="000000"/>
            </w:tcBorders>
            <w:shd w:val="clear" w:color="auto" w:fill="DBE5F1"/>
            <w:vAlign w:val="center"/>
          </w:tcPr>
          <w:p w:rsidR="0099587B" w:rsidRPr="00C4514D" w:rsidRDefault="0099587B" w:rsidP="00C4514D">
            <w:pPr>
              <w:autoSpaceDE w:val="0"/>
              <w:autoSpaceDN w:val="0"/>
              <w:adjustRightInd w:val="0"/>
              <w:jc w:val="center"/>
              <w:rPr>
                <w:rFonts w:ascii="Verdana" w:eastAsia="Cambria" w:hAnsi="Verdana" w:cs="Calibri"/>
                <w:sz w:val="20"/>
                <w:szCs w:val="20"/>
                <w:lang w:eastAsia="en-US"/>
              </w:rPr>
            </w:pPr>
            <w:r w:rsidRPr="00C4514D">
              <w:rPr>
                <w:rFonts w:ascii="Verdana" w:eastAsia="Cambria" w:hAnsi="Verdana"/>
                <w:b/>
                <w:bCs/>
                <w:sz w:val="20"/>
                <w:szCs w:val="20"/>
                <w:lang w:eastAsia="en-US"/>
              </w:rPr>
              <w:t>Head of the authority/body</w:t>
            </w:r>
          </w:p>
        </w:tc>
      </w:tr>
      <w:tr w:rsidR="0099587B" w:rsidRPr="00C4514D" w:rsidTr="00C4514D">
        <w:trPr>
          <w:trHeight w:val="1"/>
          <w:jc w:val="center"/>
        </w:trPr>
        <w:tc>
          <w:tcPr>
            <w:tcW w:w="2009" w:type="dxa"/>
            <w:tcBorders>
              <w:top w:val="single" w:sz="2" w:space="0" w:color="000000"/>
              <w:left w:val="single" w:sz="2" w:space="0" w:color="000000"/>
              <w:bottom w:val="single" w:sz="2" w:space="0" w:color="000000"/>
              <w:right w:val="single" w:sz="2" w:space="0" w:color="000000"/>
            </w:tcBorders>
            <w:vAlign w:val="center"/>
          </w:tcPr>
          <w:p w:rsidR="0099587B" w:rsidRPr="00C4514D" w:rsidRDefault="0099587B" w:rsidP="00416153">
            <w:pPr>
              <w:autoSpaceDE w:val="0"/>
              <w:autoSpaceDN w:val="0"/>
              <w:adjustRightInd w:val="0"/>
              <w:spacing w:before="120"/>
              <w:jc w:val="both"/>
              <w:rPr>
                <w:rFonts w:ascii="Verdana" w:eastAsia="Cambria" w:hAnsi="Verdana" w:cs="Calibri"/>
                <w:sz w:val="20"/>
                <w:szCs w:val="20"/>
                <w:lang w:eastAsia="en-US"/>
              </w:rPr>
            </w:pPr>
            <w:r w:rsidRPr="00C4514D">
              <w:rPr>
                <w:rFonts w:ascii="Verdana" w:eastAsia="Cambria" w:hAnsi="Verdana"/>
                <w:sz w:val="20"/>
                <w:szCs w:val="20"/>
                <w:lang w:eastAsia="en-US"/>
              </w:rPr>
              <w:t>Body or bodies designated to carry out control tasks</w:t>
            </w:r>
          </w:p>
        </w:tc>
        <w:tc>
          <w:tcPr>
            <w:tcW w:w="4394" w:type="dxa"/>
            <w:tcBorders>
              <w:top w:val="single" w:sz="2" w:space="0" w:color="000000"/>
              <w:left w:val="single" w:sz="2" w:space="0" w:color="000000"/>
              <w:bottom w:val="single" w:sz="2" w:space="0" w:color="000000"/>
              <w:right w:val="single" w:sz="2" w:space="0" w:color="000000"/>
            </w:tcBorders>
            <w:vAlign w:val="center"/>
          </w:tcPr>
          <w:p w:rsidR="0099587B" w:rsidRPr="00C4514D" w:rsidRDefault="0099587B" w:rsidP="00416153">
            <w:pPr>
              <w:autoSpaceDE w:val="0"/>
              <w:autoSpaceDN w:val="0"/>
              <w:adjustRightInd w:val="0"/>
              <w:spacing w:before="120"/>
              <w:jc w:val="both"/>
              <w:rPr>
                <w:rFonts w:ascii="Verdana" w:eastAsia="Cambria" w:hAnsi="Verdana" w:cs="Calibri"/>
                <w:sz w:val="20"/>
                <w:szCs w:val="20"/>
                <w:lang w:eastAsia="en-US"/>
              </w:rPr>
            </w:pPr>
            <w:r w:rsidRPr="00C4514D">
              <w:rPr>
                <w:rFonts w:ascii="Verdana" w:eastAsia="Cambria" w:hAnsi="Verdana" w:cs="Calibri"/>
                <w:sz w:val="20"/>
                <w:szCs w:val="20"/>
                <w:lang w:eastAsia="en-US"/>
              </w:rPr>
              <w:t>Each Member/Partner state will designate the body responsible for carrying out control tasks defined in Article 23(4)of the Regulation (EU) 1299/2013 [ETC].</w:t>
            </w:r>
          </w:p>
        </w:tc>
        <w:tc>
          <w:tcPr>
            <w:tcW w:w="2430" w:type="dxa"/>
            <w:tcBorders>
              <w:top w:val="single" w:sz="2" w:space="0" w:color="000000"/>
              <w:left w:val="single" w:sz="2" w:space="0" w:color="000000"/>
              <w:bottom w:val="single" w:sz="2" w:space="0" w:color="000000"/>
              <w:right w:val="single" w:sz="2" w:space="0" w:color="000000"/>
            </w:tcBorders>
            <w:vAlign w:val="center"/>
          </w:tcPr>
          <w:p w:rsidR="0099587B" w:rsidRPr="00C4514D" w:rsidRDefault="0099587B" w:rsidP="00416153">
            <w:pPr>
              <w:autoSpaceDE w:val="0"/>
              <w:autoSpaceDN w:val="0"/>
              <w:adjustRightInd w:val="0"/>
              <w:spacing w:before="120"/>
              <w:jc w:val="both"/>
              <w:rPr>
                <w:rFonts w:ascii="Verdana" w:eastAsia="Cambria" w:hAnsi="Verdana" w:cs="Calibri"/>
                <w:sz w:val="20"/>
                <w:szCs w:val="20"/>
                <w:lang w:eastAsia="en-US"/>
              </w:rPr>
            </w:pPr>
            <w:r w:rsidRPr="00C4514D">
              <w:rPr>
                <w:rFonts w:ascii="Verdana" w:eastAsia="Cambria" w:hAnsi="Verdana" w:cs="Arial"/>
                <w:sz w:val="20"/>
                <w:szCs w:val="20"/>
                <w:lang w:eastAsia="en-US"/>
              </w:rPr>
              <w:t>As defined in the annex of the Member/Partner State agreement for each country</w:t>
            </w:r>
          </w:p>
        </w:tc>
      </w:tr>
      <w:tr w:rsidR="0099587B" w:rsidRPr="00C4514D" w:rsidTr="00C4514D">
        <w:trPr>
          <w:trHeight w:val="1"/>
          <w:jc w:val="center"/>
        </w:trPr>
        <w:tc>
          <w:tcPr>
            <w:tcW w:w="2009" w:type="dxa"/>
            <w:tcBorders>
              <w:top w:val="single" w:sz="2" w:space="0" w:color="000000"/>
              <w:left w:val="single" w:sz="2" w:space="0" w:color="000000"/>
              <w:bottom w:val="single" w:sz="2" w:space="0" w:color="000000"/>
              <w:right w:val="single" w:sz="2" w:space="0" w:color="000000"/>
            </w:tcBorders>
            <w:vAlign w:val="center"/>
          </w:tcPr>
          <w:p w:rsidR="0099587B" w:rsidRPr="00C4514D" w:rsidRDefault="0099587B" w:rsidP="00416153">
            <w:pPr>
              <w:autoSpaceDE w:val="0"/>
              <w:autoSpaceDN w:val="0"/>
              <w:adjustRightInd w:val="0"/>
              <w:spacing w:before="120"/>
              <w:jc w:val="both"/>
              <w:rPr>
                <w:rFonts w:ascii="Verdana" w:eastAsia="Cambria" w:hAnsi="Verdana" w:cs="Calibri"/>
                <w:sz w:val="20"/>
                <w:szCs w:val="20"/>
                <w:lang w:eastAsia="en-US"/>
              </w:rPr>
            </w:pPr>
            <w:r w:rsidRPr="00C4514D">
              <w:rPr>
                <w:rFonts w:ascii="Verdana" w:eastAsia="Cambria" w:hAnsi="Verdana"/>
                <w:sz w:val="20"/>
                <w:szCs w:val="20"/>
                <w:lang w:eastAsia="en-US"/>
              </w:rPr>
              <w:t>Body or bodies designated to be responsible for carrying out audit tasks</w:t>
            </w:r>
          </w:p>
        </w:tc>
        <w:tc>
          <w:tcPr>
            <w:tcW w:w="4394" w:type="dxa"/>
            <w:tcBorders>
              <w:top w:val="single" w:sz="2" w:space="0" w:color="000000"/>
              <w:left w:val="single" w:sz="2" w:space="0" w:color="000000"/>
              <w:bottom w:val="single" w:sz="2" w:space="0" w:color="000000"/>
              <w:right w:val="single" w:sz="2" w:space="0" w:color="000000"/>
            </w:tcBorders>
            <w:vAlign w:val="center"/>
          </w:tcPr>
          <w:p w:rsidR="0099587B" w:rsidRPr="00C4514D" w:rsidRDefault="0099587B" w:rsidP="00416153">
            <w:pPr>
              <w:autoSpaceDE w:val="0"/>
              <w:autoSpaceDN w:val="0"/>
              <w:adjustRightInd w:val="0"/>
              <w:spacing w:before="120"/>
              <w:jc w:val="both"/>
              <w:rPr>
                <w:rFonts w:ascii="Verdana" w:eastAsia="Cambria" w:hAnsi="Verdana" w:cs="Calibri"/>
                <w:sz w:val="20"/>
                <w:szCs w:val="20"/>
                <w:lang w:eastAsia="en-US"/>
              </w:rPr>
            </w:pPr>
            <w:r w:rsidRPr="00C4514D">
              <w:rPr>
                <w:rFonts w:ascii="Verdana" w:eastAsia="Cambria" w:hAnsi="Verdana" w:cs="Calibri"/>
                <w:sz w:val="20"/>
                <w:szCs w:val="20"/>
                <w:lang w:eastAsia="en-US"/>
              </w:rPr>
              <w:t>The audit authority will be assisted by a Group of Auditors. Each EU-MS/PS, will designate the body responsible for carrying out the audit tasks provided for in Article 127 of the Regulation (EU) 1303/2013 [CPR].</w:t>
            </w:r>
          </w:p>
        </w:tc>
        <w:tc>
          <w:tcPr>
            <w:tcW w:w="2430" w:type="dxa"/>
            <w:tcBorders>
              <w:top w:val="single" w:sz="2" w:space="0" w:color="000000"/>
              <w:left w:val="single" w:sz="2" w:space="0" w:color="000000"/>
              <w:bottom w:val="single" w:sz="2" w:space="0" w:color="000000"/>
              <w:right w:val="single" w:sz="2" w:space="0" w:color="000000"/>
            </w:tcBorders>
            <w:vAlign w:val="center"/>
          </w:tcPr>
          <w:p w:rsidR="0099587B" w:rsidRPr="00C4514D" w:rsidRDefault="0099587B" w:rsidP="00416153">
            <w:pPr>
              <w:autoSpaceDE w:val="0"/>
              <w:autoSpaceDN w:val="0"/>
              <w:adjustRightInd w:val="0"/>
              <w:spacing w:before="120"/>
              <w:jc w:val="both"/>
              <w:rPr>
                <w:rFonts w:ascii="Verdana" w:eastAsia="Cambria" w:hAnsi="Verdana" w:cs="Calibri"/>
                <w:sz w:val="20"/>
                <w:szCs w:val="20"/>
                <w:lang w:eastAsia="en-US"/>
              </w:rPr>
            </w:pPr>
            <w:r w:rsidRPr="00C4514D">
              <w:rPr>
                <w:rFonts w:ascii="Verdana" w:eastAsia="Cambria" w:hAnsi="Verdana" w:cs="Arial"/>
                <w:sz w:val="20"/>
                <w:szCs w:val="20"/>
                <w:lang w:eastAsia="en-US"/>
              </w:rPr>
              <w:t>As defined in the annex of the Member/Partner State agreement for each country</w:t>
            </w:r>
          </w:p>
        </w:tc>
      </w:tr>
    </w:tbl>
    <w:p w:rsidR="0099587B" w:rsidRPr="004F5F2B" w:rsidRDefault="0099587B" w:rsidP="0099587B">
      <w:pPr>
        <w:autoSpaceDE w:val="0"/>
        <w:autoSpaceDN w:val="0"/>
        <w:adjustRightInd w:val="0"/>
        <w:jc w:val="both"/>
        <w:rPr>
          <w:rFonts w:ascii="Verdana" w:eastAsia="Cambria" w:hAnsi="Verdana" w:cs="Arial"/>
          <w:b/>
          <w:bCs/>
          <w:lang w:eastAsia="ar-SA"/>
        </w:rPr>
      </w:pPr>
    </w:p>
    <w:p w:rsidR="0099587B" w:rsidRPr="004F5F2B" w:rsidRDefault="0099587B" w:rsidP="0099587B">
      <w:pPr>
        <w:autoSpaceDE w:val="0"/>
        <w:autoSpaceDN w:val="0"/>
        <w:adjustRightInd w:val="0"/>
        <w:jc w:val="both"/>
        <w:rPr>
          <w:rFonts w:ascii="Verdana" w:eastAsia="Cambria" w:hAnsi="Verdana" w:cs="Arial"/>
          <w:b/>
          <w:bCs/>
          <w:lang w:eastAsia="ar-SA"/>
        </w:rPr>
      </w:pPr>
    </w:p>
    <w:p w:rsidR="008B00B7" w:rsidRDefault="008B00B7">
      <w:pPr>
        <w:rPr>
          <w:rFonts w:ascii="Verdana" w:eastAsia="Cambria" w:hAnsi="Verdana" w:cs="Arial"/>
          <w:b/>
          <w:bCs/>
          <w:lang w:eastAsia="ar-SA"/>
        </w:rPr>
      </w:pPr>
      <w:r>
        <w:rPr>
          <w:rFonts w:ascii="Verdana" w:eastAsia="Cambria" w:hAnsi="Verdana" w:cs="Arial"/>
          <w:b/>
          <w:bCs/>
          <w:lang w:eastAsia="ar-SA"/>
        </w:rPr>
        <w:br w:type="page"/>
      </w:r>
    </w:p>
    <w:p w:rsidR="0099587B" w:rsidRPr="00627420" w:rsidRDefault="0099587B" w:rsidP="00627420">
      <w:pPr>
        <w:pStyle w:val="2"/>
        <w:spacing w:after="180" w:line="276" w:lineRule="auto"/>
        <w:rPr>
          <w:lang w:eastAsia="ar-SA"/>
        </w:rPr>
      </w:pPr>
      <w:bookmarkStart w:id="40" w:name="_Toc384648459"/>
      <w:r w:rsidRPr="00627420">
        <w:rPr>
          <w:lang w:eastAsia="ar-SA"/>
        </w:rPr>
        <w:t>5.1.2</w:t>
      </w:r>
      <w:r w:rsidR="007B5752">
        <w:rPr>
          <w:lang w:eastAsia="ar-SA"/>
        </w:rPr>
        <w:t>.</w:t>
      </w:r>
      <w:r w:rsidRPr="00627420">
        <w:rPr>
          <w:lang w:eastAsia="ar-SA"/>
        </w:rPr>
        <w:tab/>
        <w:t>Procedure for setting up the joint secretariat</w:t>
      </w:r>
      <w:bookmarkEnd w:id="40"/>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For the implementation of the programme and in compliance with Article 23(2) of Regulation (EU) No 1299/2013 [ETC], the managing authority, the monitoring committee and, where appropriate, the audit authority are assisted by a Joint Secretariat (hereinafter referred to as JS) to carry out their respective functions. </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The JS is set up after consultation with the MS/PS under the responsibility of the managing authority and located in Region Ile de France/France.  Given the fact that the JS for URBACT III will overlap with the JTS for UII there will be continuity in the staff already in post.</w:t>
      </w:r>
      <w:r w:rsidR="00DF411C" w:rsidRPr="00C4514D">
        <w:rPr>
          <w:rFonts w:ascii="Verdana" w:eastAsia="MS Mincho" w:hAnsi="Verdana" w:cs="Arial"/>
          <w:sz w:val="22"/>
          <w:szCs w:val="22"/>
          <w:lang w:eastAsia="ja-JP"/>
        </w:rPr>
        <w:t xml:space="preserve">  This provides several benefits to ensure the programme gets off to a quick start, minimising the delays as well as the experience built up by the staff over the current period.</w:t>
      </w:r>
      <w:r w:rsidRPr="00C4514D">
        <w:rPr>
          <w:rFonts w:ascii="Verdana" w:eastAsia="MS Mincho" w:hAnsi="Verdana" w:cs="Arial"/>
          <w:sz w:val="22"/>
          <w:szCs w:val="22"/>
          <w:lang w:eastAsia="ja-JP"/>
        </w:rPr>
        <w:t xml:space="preserve"> Any additional recruitment will respect the EU Regulations in terms of open and transparent procedures suitably advertised.</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The joint secretariat is partly funded from the technical assistance budget.</w:t>
      </w:r>
      <w:r w:rsidR="00AE3FF8" w:rsidRPr="00C4514D">
        <w:rPr>
          <w:rFonts w:ascii="Verdana" w:eastAsia="MS Mincho" w:hAnsi="Verdana" w:cs="Arial"/>
          <w:sz w:val="22"/>
          <w:szCs w:val="22"/>
          <w:lang w:eastAsia="ja-JP"/>
        </w:rPr>
        <w:t xml:space="preserve"> The JS guarantees the impartiality of the projects´ applications´ evaluation process. It shall also provide information to potential beneficiaries about funding opportunities under the programme and shall assist beneficiaries in the implementation of operations.</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The JS shall be composed of </w:t>
      </w:r>
      <w:r w:rsidR="00AE3FF8" w:rsidRPr="00C4514D">
        <w:rPr>
          <w:rFonts w:ascii="Verdana" w:eastAsia="MS Mincho" w:hAnsi="Verdana" w:cs="Arial"/>
          <w:sz w:val="22"/>
          <w:szCs w:val="22"/>
          <w:lang w:eastAsia="ja-JP"/>
        </w:rPr>
        <w:t xml:space="preserve">a team of experienced professionals </w:t>
      </w:r>
      <w:r w:rsidRPr="00C4514D">
        <w:rPr>
          <w:rFonts w:ascii="Verdana" w:eastAsia="MS Mincho" w:hAnsi="Verdana" w:cs="Arial"/>
          <w:sz w:val="22"/>
          <w:szCs w:val="22"/>
          <w:lang w:eastAsia="ja-JP"/>
        </w:rPr>
        <w:t>and shall be balanced in terms of nationality</w:t>
      </w:r>
      <w:r w:rsidR="00AE3FF8" w:rsidRPr="00C4514D">
        <w:rPr>
          <w:rFonts w:ascii="Verdana" w:eastAsia="MS Mincho" w:hAnsi="Verdana" w:cs="Arial"/>
          <w:sz w:val="22"/>
          <w:szCs w:val="22"/>
          <w:lang w:eastAsia="ja-JP"/>
        </w:rPr>
        <w:t xml:space="preserve"> and gender</w:t>
      </w:r>
      <w:r w:rsidRPr="00C4514D">
        <w:rPr>
          <w:rFonts w:ascii="Verdana" w:eastAsia="MS Mincho" w:hAnsi="Verdana" w:cs="Arial"/>
          <w:sz w:val="22"/>
          <w:szCs w:val="22"/>
          <w:lang w:eastAsia="ja-JP"/>
        </w:rPr>
        <w:t>.</w:t>
      </w:r>
    </w:p>
    <w:p w:rsidR="008F345F" w:rsidRPr="00C4514D" w:rsidRDefault="008F345F" w:rsidP="008B00B7">
      <w:pPr>
        <w:autoSpaceDE w:val="0"/>
        <w:autoSpaceDN w:val="0"/>
        <w:adjustRightInd w:val="0"/>
        <w:spacing w:after="180" w:line="276" w:lineRule="auto"/>
        <w:jc w:val="both"/>
        <w:rPr>
          <w:rFonts w:ascii="Verdana" w:eastAsia="Cambria" w:hAnsi="Verdana" w:cs="Arial"/>
          <w:sz w:val="22"/>
          <w:szCs w:val="22"/>
          <w:lang w:eastAsia="en-US"/>
        </w:rPr>
      </w:pPr>
    </w:p>
    <w:p w:rsidR="0099587B" w:rsidRPr="00627420" w:rsidRDefault="0099587B" w:rsidP="00627420">
      <w:pPr>
        <w:pStyle w:val="2"/>
        <w:spacing w:after="180" w:line="276" w:lineRule="auto"/>
        <w:rPr>
          <w:lang w:eastAsia="ar-SA"/>
        </w:rPr>
      </w:pPr>
      <w:bookmarkStart w:id="41" w:name="_Toc384648460"/>
      <w:r w:rsidRPr="00627420">
        <w:rPr>
          <w:lang w:eastAsia="ar-SA"/>
        </w:rPr>
        <w:t>5.1.3</w:t>
      </w:r>
      <w:r w:rsidR="007B5752">
        <w:rPr>
          <w:lang w:eastAsia="ar-SA"/>
        </w:rPr>
        <w:t>.</w:t>
      </w:r>
      <w:r w:rsidRPr="00627420">
        <w:rPr>
          <w:lang w:eastAsia="ar-SA"/>
        </w:rPr>
        <w:tab/>
      </w:r>
      <w:r w:rsidR="00D13EAC" w:rsidRPr="00627420">
        <w:rPr>
          <w:lang w:eastAsia="ar-SA"/>
        </w:rPr>
        <w:t xml:space="preserve"> </w:t>
      </w:r>
      <w:r w:rsidRPr="00627420">
        <w:rPr>
          <w:lang w:eastAsia="ar-SA"/>
        </w:rPr>
        <w:t>Summary description of the mana</w:t>
      </w:r>
      <w:r w:rsidR="008F345F" w:rsidRPr="00627420">
        <w:rPr>
          <w:lang w:eastAsia="ar-SA"/>
        </w:rPr>
        <w:t>gement and control arrangements</w:t>
      </w:r>
      <w:bookmarkEnd w:id="41"/>
    </w:p>
    <w:p w:rsidR="0099587B" w:rsidRPr="00C4514D" w:rsidRDefault="0099587B" w:rsidP="008B00B7">
      <w:pPr>
        <w:autoSpaceDE w:val="0"/>
        <w:autoSpaceDN w:val="0"/>
        <w:adjustRightInd w:val="0"/>
        <w:spacing w:after="180" w:line="276" w:lineRule="auto"/>
        <w:jc w:val="both"/>
        <w:rPr>
          <w:rFonts w:ascii="Verdana" w:eastAsia="Cambria" w:hAnsi="Verdana" w:cs="Arial"/>
          <w:sz w:val="22"/>
          <w:szCs w:val="22"/>
          <w:lang w:eastAsia="en-US"/>
        </w:rPr>
      </w:pPr>
    </w:p>
    <w:p w:rsidR="0099587B" w:rsidRDefault="0099587B" w:rsidP="008B00B7">
      <w:pPr>
        <w:autoSpaceDE w:val="0"/>
        <w:autoSpaceDN w:val="0"/>
        <w:adjustRightInd w:val="0"/>
        <w:spacing w:after="180" w:line="276" w:lineRule="auto"/>
        <w:jc w:val="both"/>
        <w:rPr>
          <w:rFonts w:ascii="Verdana" w:eastAsia="Cambria" w:hAnsi="Verdana" w:cs="Arial"/>
          <w:bCs/>
          <w:sz w:val="22"/>
          <w:szCs w:val="22"/>
          <w:lang w:eastAsia="en-US"/>
        </w:rPr>
      </w:pPr>
      <w:r w:rsidRPr="00C4514D">
        <w:rPr>
          <w:rFonts w:ascii="Verdana" w:eastAsia="Cambria" w:hAnsi="Verdana" w:cs="Arial"/>
          <w:bCs/>
          <w:sz w:val="22"/>
          <w:szCs w:val="22"/>
          <w:lang w:eastAsia="en-US"/>
        </w:rPr>
        <w:t>The following paragraphs provide a description of the arrangements for the management and control of the URBACT III programme</w:t>
      </w:r>
      <w:r w:rsidR="00DF411C" w:rsidRPr="00C4514D">
        <w:rPr>
          <w:rFonts w:ascii="Verdana" w:eastAsia="Cambria" w:hAnsi="Verdana" w:cs="Arial"/>
          <w:bCs/>
          <w:sz w:val="22"/>
          <w:szCs w:val="22"/>
          <w:lang w:eastAsia="en-US"/>
        </w:rPr>
        <w:t xml:space="preserve"> developed using the experience of URBACT I and II programme management</w:t>
      </w:r>
      <w:r w:rsidRPr="00C4514D">
        <w:rPr>
          <w:rFonts w:ascii="Verdana" w:eastAsia="Cambria" w:hAnsi="Verdana" w:cs="Arial"/>
          <w:bCs/>
          <w:sz w:val="22"/>
          <w:szCs w:val="22"/>
          <w:lang w:eastAsia="en-US"/>
        </w:rPr>
        <w:t xml:space="preserve">. </w:t>
      </w:r>
    </w:p>
    <w:p w:rsidR="008D5F4A" w:rsidRPr="00C4514D" w:rsidRDefault="008D5F4A" w:rsidP="008B00B7">
      <w:pPr>
        <w:autoSpaceDE w:val="0"/>
        <w:autoSpaceDN w:val="0"/>
        <w:adjustRightInd w:val="0"/>
        <w:spacing w:after="180" w:line="276" w:lineRule="auto"/>
        <w:jc w:val="both"/>
        <w:rPr>
          <w:rFonts w:ascii="Verdana" w:eastAsia="Cambria" w:hAnsi="Verdana" w:cs="Arial"/>
          <w:bCs/>
          <w:sz w:val="22"/>
          <w:szCs w:val="22"/>
          <w:lang w:eastAsia="en-US"/>
        </w:rPr>
      </w:pPr>
    </w:p>
    <w:p w:rsidR="0099587B" w:rsidRPr="00C4514D" w:rsidRDefault="0099587B" w:rsidP="008B00B7">
      <w:pPr>
        <w:autoSpaceDE w:val="0"/>
        <w:autoSpaceDN w:val="0"/>
        <w:adjustRightInd w:val="0"/>
        <w:spacing w:after="180" w:line="276" w:lineRule="auto"/>
        <w:jc w:val="both"/>
        <w:rPr>
          <w:rFonts w:ascii="Verdana" w:eastAsia="Cambria" w:hAnsi="Verdana" w:cs="Arial"/>
          <w:b/>
          <w:i/>
          <w:iCs/>
          <w:sz w:val="22"/>
          <w:szCs w:val="22"/>
          <w:lang w:eastAsia="en-US"/>
        </w:rPr>
      </w:pPr>
      <w:r w:rsidRPr="00C4514D">
        <w:rPr>
          <w:rFonts w:ascii="Verdana" w:eastAsia="Cambria" w:hAnsi="Verdana" w:cs="Arial"/>
          <w:b/>
          <w:i/>
          <w:iCs/>
          <w:sz w:val="22"/>
          <w:szCs w:val="22"/>
          <w:lang w:eastAsia="en-US"/>
        </w:rPr>
        <w:t xml:space="preserve">Joint implementation structure of the programme </w:t>
      </w:r>
    </w:p>
    <w:p w:rsidR="0099587B" w:rsidRPr="00C4514D" w:rsidRDefault="0099587B" w:rsidP="008B00B7">
      <w:pPr>
        <w:autoSpaceDE w:val="0"/>
        <w:autoSpaceDN w:val="0"/>
        <w:adjustRightInd w:val="0"/>
        <w:spacing w:after="180" w:line="276" w:lineRule="auto"/>
        <w:jc w:val="both"/>
        <w:rPr>
          <w:rFonts w:ascii="Verdana" w:eastAsia="Cambria" w:hAnsi="Verdana" w:cs="Arial"/>
          <w:bCs/>
          <w:sz w:val="22"/>
          <w:szCs w:val="22"/>
          <w:lang w:eastAsia="en-US"/>
        </w:rPr>
      </w:pPr>
      <w:r w:rsidRPr="00C4514D">
        <w:rPr>
          <w:rFonts w:ascii="Verdana" w:eastAsia="Cambria" w:hAnsi="Verdana" w:cs="Arial"/>
          <w:bCs/>
          <w:sz w:val="22"/>
          <w:szCs w:val="22"/>
          <w:lang w:eastAsia="en-US"/>
        </w:rPr>
        <w:t xml:space="preserve">The URBACT III programme shall be implemented through the following main implementation structures: a managing authority, a certifying authority whose function shall be carried out by the Managing Authority, a joint secretariat, a monitoring committee, an audit authority and a group of auditors. </w:t>
      </w:r>
    </w:p>
    <w:p w:rsidR="0099587B" w:rsidRPr="00C4514D" w:rsidRDefault="0099587B" w:rsidP="008B00B7">
      <w:pPr>
        <w:autoSpaceDE w:val="0"/>
        <w:autoSpaceDN w:val="0"/>
        <w:adjustRightInd w:val="0"/>
        <w:spacing w:after="180" w:line="276" w:lineRule="auto"/>
        <w:jc w:val="both"/>
        <w:rPr>
          <w:rFonts w:ascii="Verdana" w:eastAsia="Cambria" w:hAnsi="Verdana" w:cs="Arial"/>
          <w:sz w:val="22"/>
          <w:szCs w:val="22"/>
          <w:lang w:eastAsia="en-US"/>
        </w:rPr>
      </w:pPr>
      <w:r w:rsidRPr="00C4514D">
        <w:rPr>
          <w:rFonts w:ascii="Verdana" w:eastAsia="Cambria" w:hAnsi="Verdana" w:cs="Arial"/>
          <w:bCs/>
          <w:sz w:val="22"/>
          <w:szCs w:val="22"/>
          <w:lang w:eastAsia="en-US"/>
        </w:rPr>
        <w:t>By decision of 28</w:t>
      </w:r>
      <w:r w:rsidRPr="00C4514D">
        <w:rPr>
          <w:rFonts w:ascii="Verdana" w:eastAsia="Cambria" w:hAnsi="Verdana" w:cs="Arial"/>
          <w:bCs/>
          <w:sz w:val="22"/>
          <w:szCs w:val="22"/>
          <w:vertAlign w:val="superscript"/>
          <w:lang w:eastAsia="en-US"/>
        </w:rPr>
        <w:t>th</w:t>
      </w:r>
      <w:r w:rsidRPr="00C4514D">
        <w:rPr>
          <w:rFonts w:ascii="Verdana" w:eastAsia="Cambria" w:hAnsi="Verdana" w:cs="Arial"/>
          <w:bCs/>
          <w:sz w:val="22"/>
          <w:szCs w:val="22"/>
          <w:lang w:eastAsia="en-US"/>
        </w:rPr>
        <w:t xml:space="preserve"> January 2013 the Member States and Partner States of the URBACT programme support the </w:t>
      </w:r>
      <w:r w:rsidRPr="00C4514D">
        <w:rPr>
          <w:rFonts w:ascii="Verdana" w:hAnsi="Verdana" w:cs="Arial"/>
          <w:sz w:val="22"/>
          <w:szCs w:val="22"/>
        </w:rPr>
        <w:t>Commissariat Général à l’Egalité des Territoires</w:t>
      </w:r>
      <w:r w:rsidRPr="00C4514D">
        <w:rPr>
          <w:rFonts w:ascii="Verdana" w:eastAsia="Cambria" w:hAnsi="Verdana" w:cs="Arial"/>
          <w:sz w:val="22"/>
          <w:szCs w:val="22"/>
          <w:lang w:eastAsia="en-US"/>
        </w:rPr>
        <w:t xml:space="preserve"> (CGET) as Managing Authority to the URBACT III programme.</w:t>
      </w:r>
    </w:p>
    <w:p w:rsidR="0099587B" w:rsidRPr="00C4514D" w:rsidRDefault="0099587B" w:rsidP="008B00B7">
      <w:pPr>
        <w:autoSpaceDE w:val="0"/>
        <w:autoSpaceDN w:val="0"/>
        <w:adjustRightInd w:val="0"/>
        <w:spacing w:after="180" w:line="276" w:lineRule="auto"/>
        <w:jc w:val="both"/>
        <w:rPr>
          <w:rFonts w:ascii="Verdana" w:eastAsia="Cambria" w:hAnsi="Verdana" w:cs="Arial"/>
          <w:sz w:val="22"/>
          <w:szCs w:val="22"/>
          <w:lang w:eastAsia="en-US"/>
        </w:rPr>
      </w:pPr>
    </w:p>
    <w:p w:rsidR="0099587B" w:rsidRPr="00C4514D" w:rsidRDefault="0099587B" w:rsidP="008B00B7">
      <w:pPr>
        <w:autoSpaceDE w:val="0"/>
        <w:autoSpaceDN w:val="0"/>
        <w:adjustRightInd w:val="0"/>
        <w:spacing w:after="180" w:line="276" w:lineRule="auto"/>
        <w:jc w:val="both"/>
        <w:rPr>
          <w:rFonts w:ascii="Verdana" w:eastAsia="Cambria" w:hAnsi="Verdana" w:cs="Arial"/>
          <w:bCs/>
          <w:sz w:val="22"/>
          <w:szCs w:val="22"/>
          <w:lang w:eastAsia="en-US"/>
        </w:rPr>
      </w:pPr>
      <w:r w:rsidRPr="00C4514D">
        <w:rPr>
          <w:rFonts w:ascii="Verdana" w:eastAsia="Cambria" w:hAnsi="Verdana" w:cs="Arial"/>
          <w:bCs/>
          <w:sz w:val="22"/>
          <w:szCs w:val="22"/>
          <w:lang w:eastAsia="en-US"/>
        </w:rPr>
        <w:t xml:space="preserve">The managing authority and the certifying authority shall be designated according to Article 124 of Regulation (EU) 1303/2013 </w:t>
      </w:r>
      <w:r w:rsidRPr="00C4514D">
        <w:rPr>
          <w:rFonts w:ascii="Verdana" w:eastAsia="MS Mincho" w:hAnsi="Verdana" w:cs="Arial"/>
          <w:sz w:val="22"/>
          <w:szCs w:val="22"/>
          <w:lang w:eastAsia="ja-JP"/>
        </w:rPr>
        <w:t>[CPR] and Article 21 of Regulation (EU) 1299/2013 [CTE]</w:t>
      </w:r>
    </w:p>
    <w:p w:rsidR="0099587B" w:rsidRPr="00C4514D" w:rsidRDefault="0099587B" w:rsidP="008B00B7">
      <w:pPr>
        <w:autoSpaceDE w:val="0"/>
        <w:autoSpaceDN w:val="0"/>
        <w:adjustRightInd w:val="0"/>
        <w:spacing w:after="180" w:line="276" w:lineRule="auto"/>
        <w:jc w:val="both"/>
        <w:rPr>
          <w:rFonts w:ascii="Verdana" w:eastAsia="Cambria" w:hAnsi="Verdana" w:cs="Arial"/>
          <w:b/>
          <w:iCs/>
          <w:sz w:val="22"/>
          <w:szCs w:val="22"/>
          <w:lang w:eastAsia="en-US"/>
        </w:rPr>
      </w:pPr>
    </w:p>
    <w:p w:rsidR="0099587B" w:rsidRPr="00C4514D" w:rsidRDefault="0099587B" w:rsidP="008B00B7">
      <w:pPr>
        <w:autoSpaceDE w:val="0"/>
        <w:autoSpaceDN w:val="0"/>
        <w:adjustRightInd w:val="0"/>
        <w:spacing w:after="180" w:line="276" w:lineRule="auto"/>
        <w:jc w:val="both"/>
        <w:rPr>
          <w:rFonts w:ascii="Verdana" w:eastAsia="Cambria" w:hAnsi="Verdana" w:cs="Arial"/>
          <w:b/>
          <w:bCs/>
          <w:i/>
          <w:sz w:val="22"/>
          <w:szCs w:val="22"/>
          <w:lang w:eastAsia="en-US"/>
        </w:rPr>
      </w:pPr>
      <w:r w:rsidRPr="00C4514D">
        <w:rPr>
          <w:rFonts w:ascii="Verdana" w:eastAsia="Cambria" w:hAnsi="Verdana" w:cs="Arial"/>
          <w:b/>
          <w:bCs/>
          <w:i/>
          <w:sz w:val="22"/>
          <w:szCs w:val="22"/>
          <w:lang w:eastAsia="en-US"/>
        </w:rPr>
        <w:t xml:space="preserve">Role and tasks of the managing authority and the joint secretariat </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The managing authority, assisted by the joint secretariat, will be responsible for managing the programme in accordance with the principle of sound financial management as described in Article 125 of the Regulation (EU) 1303/2013 [CPR] and Article 23 of Regulation (EU) 1299/2013 [ETC].  </w:t>
      </w:r>
    </w:p>
    <w:p w:rsidR="0099587B" w:rsidRPr="00C4514D" w:rsidRDefault="0099587B" w:rsidP="008B00B7">
      <w:pPr>
        <w:autoSpaceDE w:val="0"/>
        <w:autoSpaceDN w:val="0"/>
        <w:adjustRightInd w:val="0"/>
        <w:spacing w:after="180" w:line="276" w:lineRule="auto"/>
        <w:jc w:val="both"/>
        <w:rPr>
          <w:rFonts w:ascii="Verdana" w:eastAsia="Cambria" w:hAnsi="Verdana" w:cs="Arial"/>
          <w:sz w:val="22"/>
          <w:szCs w:val="22"/>
          <w:lang w:eastAsia="en-US"/>
        </w:rPr>
      </w:pPr>
      <w:r w:rsidRPr="00C4514D">
        <w:rPr>
          <w:rFonts w:ascii="Verdana" w:eastAsia="Cambria" w:hAnsi="Verdana" w:cs="Arial"/>
          <w:iCs/>
          <w:sz w:val="22"/>
          <w:szCs w:val="22"/>
          <w:lang w:eastAsia="en-US"/>
        </w:rPr>
        <w:t xml:space="preserve">The joint secretariat is set up under the responsibility of the managing authority. </w:t>
      </w:r>
      <w:r w:rsidRPr="00C4514D">
        <w:rPr>
          <w:rFonts w:ascii="Verdana" w:eastAsia="MS Mincho" w:hAnsi="Verdana" w:cs="Arial"/>
          <w:sz w:val="22"/>
          <w:szCs w:val="22"/>
          <w:lang w:eastAsia="ja-JP"/>
        </w:rPr>
        <w:t>The joint secretariat assists the monitoring committee</w:t>
      </w:r>
      <w:r w:rsidR="00DF411C" w:rsidRPr="00C4514D">
        <w:rPr>
          <w:rFonts w:ascii="Verdana" w:eastAsia="MS Mincho" w:hAnsi="Verdana" w:cs="Arial"/>
          <w:sz w:val="22"/>
          <w:szCs w:val="22"/>
          <w:lang w:eastAsia="ja-JP"/>
        </w:rPr>
        <w:t xml:space="preserve"> (a full description of the tasks of the MC can be found</w:t>
      </w:r>
      <w:r w:rsidR="00F11811" w:rsidRPr="00C4514D">
        <w:rPr>
          <w:rFonts w:ascii="Verdana" w:eastAsia="MS Mincho" w:hAnsi="Verdana" w:cs="Arial"/>
          <w:sz w:val="22"/>
          <w:szCs w:val="22"/>
          <w:lang w:eastAsia="ja-JP"/>
        </w:rPr>
        <w:t xml:space="preserve"> further</w:t>
      </w:r>
      <w:r w:rsidR="00DF411C" w:rsidRPr="00C4514D">
        <w:rPr>
          <w:rFonts w:ascii="Verdana" w:eastAsia="MS Mincho" w:hAnsi="Verdana" w:cs="Arial"/>
          <w:sz w:val="22"/>
          <w:szCs w:val="22"/>
          <w:lang w:eastAsia="ja-JP"/>
        </w:rPr>
        <w:t>)</w:t>
      </w:r>
      <w:r w:rsidRPr="00C4514D">
        <w:rPr>
          <w:rFonts w:ascii="Verdana" w:eastAsia="MS Mincho" w:hAnsi="Verdana" w:cs="Arial"/>
          <w:sz w:val="22"/>
          <w:szCs w:val="22"/>
          <w:lang w:eastAsia="ja-JP"/>
        </w:rPr>
        <w:t>, the managing authority and, where appropriate, the audit authority in carrying out their respective functions</w:t>
      </w:r>
      <w:r w:rsidRPr="00C4514D">
        <w:rPr>
          <w:rFonts w:ascii="Verdana" w:eastAsia="Cambria" w:hAnsi="Verdana" w:cs="Arial"/>
          <w:sz w:val="22"/>
          <w:szCs w:val="22"/>
          <w:lang w:eastAsia="en-US"/>
        </w:rPr>
        <w:t xml:space="preserve"> and especially: </w:t>
      </w:r>
    </w:p>
    <w:p w:rsidR="0099587B" w:rsidRPr="00C4514D" w:rsidRDefault="0099587B" w:rsidP="00D67ECF">
      <w:pPr>
        <w:numPr>
          <w:ilvl w:val="0"/>
          <w:numId w:val="8"/>
        </w:numPr>
        <w:autoSpaceDE w:val="0"/>
        <w:autoSpaceDN w:val="0"/>
        <w:adjustRightInd w:val="0"/>
        <w:spacing w:after="180" w:line="276" w:lineRule="auto"/>
        <w:ind w:left="714" w:hanging="357"/>
        <w:jc w:val="both"/>
        <w:rPr>
          <w:rFonts w:ascii="Verdana" w:hAnsi="Verdana" w:cs="Arial"/>
          <w:sz w:val="22"/>
          <w:szCs w:val="22"/>
        </w:rPr>
      </w:pPr>
      <w:r w:rsidRPr="00C4514D">
        <w:rPr>
          <w:rFonts w:ascii="Verdana" w:hAnsi="Verdana" w:cs="Arial"/>
          <w:sz w:val="22"/>
          <w:szCs w:val="22"/>
        </w:rPr>
        <w:t xml:space="preserve">to prepare, implement and follow-up decisions of the monitoring and programming Committee, to organise the monitoring committee/ and task force meetings (where appropriate) </w:t>
      </w:r>
    </w:p>
    <w:p w:rsidR="0099587B" w:rsidRPr="00C4514D" w:rsidRDefault="0099587B" w:rsidP="00D67ECF">
      <w:pPr>
        <w:numPr>
          <w:ilvl w:val="0"/>
          <w:numId w:val="8"/>
        </w:numPr>
        <w:autoSpaceDE w:val="0"/>
        <w:autoSpaceDN w:val="0"/>
        <w:adjustRightInd w:val="0"/>
        <w:spacing w:after="180" w:line="276" w:lineRule="auto"/>
        <w:jc w:val="both"/>
        <w:rPr>
          <w:rFonts w:ascii="Verdana" w:hAnsi="Verdana" w:cs="Arial"/>
          <w:sz w:val="22"/>
          <w:szCs w:val="22"/>
        </w:rPr>
      </w:pPr>
      <w:r w:rsidRPr="00C4514D">
        <w:rPr>
          <w:rFonts w:ascii="Verdana" w:hAnsi="Verdana" w:cs="Arial"/>
          <w:sz w:val="22"/>
          <w:szCs w:val="22"/>
        </w:rPr>
        <w:t xml:space="preserve">to liaise with the implementing authorities and the European Commission, to ensure that the relevant implementation reports and any other relevant information is made available to them; </w:t>
      </w:r>
    </w:p>
    <w:p w:rsidR="0099587B" w:rsidRPr="00C4514D" w:rsidRDefault="0099587B" w:rsidP="00D67ECF">
      <w:pPr>
        <w:numPr>
          <w:ilvl w:val="0"/>
          <w:numId w:val="8"/>
        </w:numPr>
        <w:autoSpaceDE w:val="0"/>
        <w:autoSpaceDN w:val="0"/>
        <w:adjustRightInd w:val="0"/>
        <w:spacing w:after="180" w:line="276" w:lineRule="auto"/>
        <w:jc w:val="both"/>
        <w:rPr>
          <w:rFonts w:ascii="Verdana" w:hAnsi="Verdana" w:cs="Arial"/>
          <w:sz w:val="22"/>
          <w:szCs w:val="22"/>
        </w:rPr>
      </w:pPr>
      <w:r w:rsidRPr="00C4514D">
        <w:rPr>
          <w:rFonts w:ascii="Verdana" w:hAnsi="Verdana" w:cs="Arial"/>
          <w:sz w:val="22"/>
          <w:szCs w:val="22"/>
        </w:rPr>
        <w:t>to cooperate with organisations, institutions and networks relevant for the objectives of the programme;</w:t>
      </w:r>
    </w:p>
    <w:p w:rsidR="0099587B" w:rsidRPr="00C4514D" w:rsidRDefault="0099587B" w:rsidP="00D67ECF">
      <w:pPr>
        <w:numPr>
          <w:ilvl w:val="0"/>
          <w:numId w:val="8"/>
        </w:numPr>
        <w:autoSpaceDE w:val="0"/>
        <w:autoSpaceDN w:val="0"/>
        <w:adjustRightInd w:val="0"/>
        <w:spacing w:after="180" w:line="276" w:lineRule="auto"/>
        <w:jc w:val="both"/>
        <w:rPr>
          <w:rFonts w:ascii="Verdana" w:hAnsi="Verdana" w:cs="Arial"/>
          <w:sz w:val="22"/>
          <w:szCs w:val="22"/>
        </w:rPr>
      </w:pPr>
      <w:r w:rsidRPr="00C4514D">
        <w:rPr>
          <w:rFonts w:ascii="Verdana" w:hAnsi="Verdana" w:cs="Arial"/>
          <w:sz w:val="22"/>
          <w:szCs w:val="22"/>
        </w:rPr>
        <w:t>to distribute information and implement publicity measures on the programme, its various components and its projects, including running a programme website</w:t>
      </w:r>
      <w:r w:rsidR="00AE3FF8" w:rsidRPr="00C4514D">
        <w:rPr>
          <w:rFonts w:ascii="Verdana" w:hAnsi="Verdana" w:cs="Arial"/>
          <w:sz w:val="22"/>
          <w:szCs w:val="22"/>
        </w:rPr>
        <w:t>, organising programme events</w:t>
      </w:r>
      <w:r w:rsidRPr="00C4514D">
        <w:rPr>
          <w:rFonts w:ascii="Verdana" w:hAnsi="Verdana" w:cs="Arial"/>
          <w:sz w:val="22"/>
          <w:szCs w:val="22"/>
        </w:rPr>
        <w:t>;</w:t>
      </w:r>
    </w:p>
    <w:p w:rsidR="0099587B" w:rsidRPr="00C4514D" w:rsidRDefault="0099587B" w:rsidP="00D67ECF">
      <w:pPr>
        <w:numPr>
          <w:ilvl w:val="0"/>
          <w:numId w:val="8"/>
        </w:numPr>
        <w:autoSpaceDE w:val="0"/>
        <w:autoSpaceDN w:val="0"/>
        <w:adjustRightInd w:val="0"/>
        <w:spacing w:after="180" w:line="276" w:lineRule="auto"/>
        <w:jc w:val="both"/>
        <w:rPr>
          <w:rFonts w:ascii="Verdana" w:hAnsi="Verdana" w:cs="Arial"/>
          <w:sz w:val="22"/>
          <w:szCs w:val="22"/>
        </w:rPr>
      </w:pPr>
      <w:r w:rsidRPr="00C4514D">
        <w:rPr>
          <w:rFonts w:ascii="Verdana" w:hAnsi="Verdana" w:cs="Arial"/>
          <w:sz w:val="22"/>
          <w:szCs w:val="22"/>
        </w:rPr>
        <w:t xml:space="preserve">to establish a programme database and project online monitoring system to provide data in computerised form necessary for the monitoring, evaluation, financial management, verification and audit </w:t>
      </w:r>
    </w:p>
    <w:p w:rsidR="0099587B" w:rsidRPr="00C4514D" w:rsidRDefault="0099587B" w:rsidP="00D67ECF">
      <w:pPr>
        <w:numPr>
          <w:ilvl w:val="0"/>
          <w:numId w:val="8"/>
        </w:numPr>
        <w:autoSpaceDE w:val="0"/>
        <w:autoSpaceDN w:val="0"/>
        <w:adjustRightInd w:val="0"/>
        <w:spacing w:after="180" w:line="276" w:lineRule="auto"/>
        <w:jc w:val="both"/>
        <w:rPr>
          <w:rFonts w:ascii="Verdana" w:hAnsi="Verdana" w:cs="Arial"/>
          <w:sz w:val="22"/>
          <w:szCs w:val="22"/>
        </w:rPr>
      </w:pPr>
      <w:r w:rsidRPr="00C4514D">
        <w:rPr>
          <w:rFonts w:ascii="Verdana" w:hAnsi="Verdana" w:cs="Arial"/>
          <w:sz w:val="22"/>
          <w:szCs w:val="22"/>
        </w:rPr>
        <w:t xml:space="preserve">to develop for approval by the monitoring committee a transparent selection procedure, selection criteria, terms of reference for the calls for proposals, application pack incl. funding rules </w:t>
      </w:r>
    </w:p>
    <w:p w:rsidR="0099587B" w:rsidRPr="00C4514D" w:rsidRDefault="0099587B" w:rsidP="00D67ECF">
      <w:pPr>
        <w:numPr>
          <w:ilvl w:val="0"/>
          <w:numId w:val="8"/>
        </w:numPr>
        <w:autoSpaceDE w:val="0"/>
        <w:autoSpaceDN w:val="0"/>
        <w:adjustRightInd w:val="0"/>
        <w:spacing w:after="180" w:line="276" w:lineRule="auto"/>
        <w:jc w:val="both"/>
        <w:rPr>
          <w:rFonts w:ascii="Verdana" w:hAnsi="Verdana" w:cs="Arial"/>
          <w:sz w:val="22"/>
          <w:szCs w:val="22"/>
        </w:rPr>
      </w:pPr>
      <w:r w:rsidRPr="00C4514D">
        <w:rPr>
          <w:rFonts w:ascii="Verdana" w:hAnsi="Verdana" w:cs="Arial"/>
          <w:sz w:val="22"/>
          <w:szCs w:val="22"/>
        </w:rPr>
        <w:t xml:space="preserve">to manage the project application process for all projects, including, providing information and advice to applicants (e.g. by means of an applicants’ pack), checking, assessing applications on the basis of approved criteria and procedure, and advising </w:t>
      </w:r>
      <w:r w:rsidR="00BE1911" w:rsidRPr="00C4514D">
        <w:rPr>
          <w:rFonts w:ascii="Verdana" w:hAnsi="Verdana" w:cs="Arial"/>
          <w:sz w:val="22"/>
          <w:szCs w:val="22"/>
        </w:rPr>
        <w:t xml:space="preserve">lead </w:t>
      </w:r>
      <w:r w:rsidRPr="00C4514D">
        <w:rPr>
          <w:rFonts w:ascii="Verdana" w:hAnsi="Verdana" w:cs="Arial"/>
          <w:sz w:val="22"/>
          <w:szCs w:val="22"/>
        </w:rPr>
        <w:t>partners of monitoring committee decisions;</w:t>
      </w:r>
    </w:p>
    <w:p w:rsidR="0099587B" w:rsidRPr="00C4514D" w:rsidRDefault="0099587B" w:rsidP="00D67ECF">
      <w:pPr>
        <w:numPr>
          <w:ilvl w:val="0"/>
          <w:numId w:val="8"/>
        </w:numPr>
        <w:autoSpaceDE w:val="0"/>
        <w:autoSpaceDN w:val="0"/>
        <w:adjustRightInd w:val="0"/>
        <w:spacing w:after="180" w:line="276" w:lineRule="auto"/>
        <w:jc w:val="both"/>
        <w:rPr>
          <w:rFonts w:ascii="Verdana" w:hAnsi="Verdana" w:cs="Arial"/>
          <w:sz w:val="22"/>
          <w:szCs w:val="22"/>
        </w:rPr>
      </w:pPr>
      <w:r w:rsidRPr="00C4514D">
        <w:rPr>
          <w:rFonts w:ascii="Verdana" w:hAnsi="Verdana" w:cs="Arial"/>
          <w:sz w:val="22"/>
          <w:szCs w:val="22"/>
        </w:rPr>
        <w:t>to assist and organise activities to support project generation and development;</w:t>
      </w:r>
    </w:p>
    <w:p w:rsidR="0099587B" w:rsidRPr="00C4514D" w:rsidRDefault="0099587B" w:rsidP="00D67ECF">
      <w:pPr>
        <w:numPr>
          <w:ilvl w:val="0"/>
          <w:numId w:val="8"/>
        </w:numPr>
        <w:autoSpaceDE w:val="0"/>
        <w:autoSpaceDN w:val="0"/>
        <w:adjustRightInd w:val="0"/>
        <w:spacing w:after="180" w:line="276" w:lineRule="auto"/>
        <w:jc w:val="both"/>
        <w:rPr>
          <w:rFonts w:ascii="Verdana" w:hAnsi="Verdana" w:cs="Arial"/>
          <w:sz w:val="22"/>
          <w:szCs w:val="22"/>
        </w:rPr>
      </w:pPr>
      <w:r w:rsidRPr="00C4514D">
        <w:rPr>
          <w:rFonts w:ascii="Verdana" w:hAnsi="Verdana" w:cs="Arial"/>
          <w:sz w:val="22"/>
          <w:szCs w:val="22"/>
        </w:rPr>
        <w:t>to organise partner search events concerning the whole EU territory</w:t>
      </w:r>
    </w:p>
    <w:p w:rsidR="0099587B" w:rsidRPr="00C4514D" w:rsidRDefault="0099587B" w:rsidP="00D67ECF">
      <w:pPr>
        <w:numPr>
          <w:ilvl w:val="0"/>
          <w:numId w:val="8"/>
        </w:numPr>
        <w:autoSpaceDE w:val="0"/>
        <w:autoSpaceDN w:val="0"/>
        <w:adjustRightInd w:val="0"/>
        <w:spacing w:after="180" w:line="276" w:lineRule="auto"/>
        <w:jc w:val="both"/>
        <w:rPr>
          <w:rFonts w:ascii="Verdana" w:hAnsi="Verdana" w:cs="Arial"/>
          <w:sz w:val="22"/>
          <w:szCs w:val="22"/>
        </w:rPr>
      </w:pPr>
      <w:r w:rsidRPr="00C4514D">
        <w:rPr>
          <w:rFonts w:ascii="Verdana" w:hAnsi="Verdana" w:cs="Arial"/>
          <w:sz w:val="22"/>
          <w:szCs w:val="22"/>
        </w:rPr>
        <w:t xml:space="preserve">to monitor commitments and payments of ERDF funds at programme level by categories of intervention; to manage the programme </w:t>
      </w:r>
      <w:r w:rsidR="00BE1911" w:rsidRPr="00C4514D">
        <w:rPr>
          <w:rFonts w:ascii="Verdana" w:hAnsi="Verdana" w:cs="Arial"/>
          <w:sz w:val="22"/>
          <w:szCs w:val="22"/>
        </w:rPr>
        <w:t>budget to ensure there are sufficient funds to pay and to avoid decommitment</w:t>
      </w:r>
    </w:p>
    <w:p w:rsidR="0099587B" w:rsidRPr="00C4514D" w:rsidRDefault="0099587B" w:rsidP="00D67ECF">
      <w:pPr>
        <w:numPr>
          <w:ilvl w:val="0"/>
          <w:numId w:val="8"/>
        </w:numPr>
        <w:autoSpaceDE w:val="0"/>
        <w:autoSpaceDN w:val="0"/>
        <w:adjustRightInd w:val="0"/>
        <w:spacing w:after="180" w:line="276" w:lineRule="auto"/>
        <w:jc w:val="both"/>
        <w:rPr>
          <w:rFonts w:ascii="Verdana" w:hAnsi="Verdana" w:cs="Arial"/>
          <w:sz w:val="22"/>
          <w:szCs w:val="22"/>
        </w:rPr>
      </w:pPr>
      <w:r w:rsidRPr="00C4514D">
        <w:rPr>
          <w:rFonts w:ascii="Verdana" w:hAnsi="Verdana" w:cs="Arial"/>
          <w:sz w:val="22"/>
          <w:szCs w:val="22"/>
        </w:rPr>
        <w:t xml:space="preserve">to provide </w:t>
      </w:r>
      <w:r w:rsidR="00AE3FF8" w:rsidRPr="00C4514D">
        <w:rPr>
          <w:rFonts w:ascii="Verdana" w:hAnsi="Verdana" w:cs="Arial"/>
          <w:sz w:val="22"/>
          <w:szCs w:val="22"/>
        </w:rPr>
        <w:t xml:space="preserve">ongoing </w:t>
      </w:r>
      <w:r w:rsidRPr="00C4514D">
        <w:rPr>
          <w:rFonts w:ascii="Verdana" w:hAnsi="Verdana" w:cs="Arial"/>
          <w:sz w:val="22"/>
          <w:szCs w:val="22"/>
        </w:rPr>
        <w:t>advice and assistance to projects regarding implementation of activities and financial administration;</w:t>
      </w:r>
    </w:p>
    <w:p w:rsidR="0099587B" w:rsidRPr="00C4514D" w:rsidRDefault="0099587B" w:rsidP="00D67ECF">
      <w:pPr>
        <w:numPr>
          <w:ilvl w:val="0"/>
          <w:numId w:val="8"/>
        </w:numPr>
        <w:autoSpaceDE w:val="0"/>
        <w:autoSpaceDN w:val="0"/>
        <w:adjustRightInd w:val="0"/>
        <w:spacing w:after="180" w:line="276" w:lineRule="auto"/>
        <w:jc w:val="both"/>
        <w:rPr>
          <w:rFonts w:ascii="Verdana" w:hAnsi="Verdana" w:cs="Arial"/>
          <w:sz w:val="22"/>
          <w:szCs w:val="22"/>
        </w:rPr>
      </w:pPr>
      <w:r w:rsidRPr="00C4514D">
        <w:rPr>
          <w:rFonts w:ascii="Verdana" w:hAnsi="Verdana" w:cs="Arial"/>
          <w:sz w:val="22"/>
          <w:szCs w:val="22"/>
        </w:rPr>
        <w:t xml:space="preserve">to monitor progress made by projects through collecting and checking project monitoring reports, monitoring outputs, results and financial implementation; to ensure that payments to projects are made within the agreed timeframe </w:t>
      </w:r>
    </w:p>
    <w:p w:rsidR="0099587B" w:rsidRPr="00C4514D" w:rsidRDefault="0099587B" w:rsidP="00D67ECF">
      <w:pPr>
        <w:numPr>
          <w:ilvl w:val="0"/>
          <w:numId w:val="8"/>
        </w:numPr>
        <w:autoSpaceDE w:val="0"/>
        <w:autoSpaceDN w:val="0"/>
        <w:adjustRightInd w:val="0"/>
        <w:spacing w:after="180" w:line="276" w:lineRule="auto"/>
        <w:jc w:val="both"/>
        <w:rPr>
          <w:rFonts w:ascii="Verdana" w:hAnsi="Verdana" w:cs="Arial"/>
          <w:sz w:val="22"/>
          <w:szCs w:val="22"/>
        </w:rPr>
      </w:pPr>
      <w:r w:rsidRPr="00C4514D">
        <w:rPr>
          <w:rFonts w:ascii="Verdana" w:hAnsi="Verdana" w:cs="Arial"/>
          <w:sz w:val="22"/>
          <w:szCs w:val="22"/>
        </w:rPr>
        <w:t>to manage and coordinate the programme activity, including the tendering and contracting of expertise, the steering and monitoring of the activities and the reporting to and involvement of the programme stakeholders;</w:t>
      </w:r>
    </w:p>
    <w:p w:rsidR="0099587B" w:rsidRPr="00C4514D" w:rsidRDefault="0099587B" w:rsidP="00D67ECF">
      <w:pPr>
        <w:numPr>
          <w:ilvl w:val="0"/>
          <w:numId w:val="8"/>
        </w:numPr>
        <w:autoSpaceDE w:val="0"/>
        <w:autoSpaceDN w:val="0"/>
        <w:adjustRightInd w:val="0"/>
        <w:spacing w:after="180" w:line="276" w:lineRule="auto"/>
        <w:jc w:val="both"/>
        <w:rPr>
          <w:rFonts w:ascii="Verdana" w:hAnsi="Verdana" w:cs="Arial"/>
          <w:sz w:val="22"/>
          <w:szCs w:val="22"/>
        </w:rPr>
      </w:pPr>
      <w:r w:rsidRPr="00C4514D">
        <w:rPr>
          <w:rFonts w:ascii="Verdana" w:hAnsi="Verdana" w:cs="Arial"/>
          <w:sz w:val="22"/>
          <w:szCs w:val="22"/>
        </w:rPr>
        <w:t xml:space="preserve">to set up a coherent programme management and control system ensuring the legality, regularity of declared expenditure and the respect of the principle of sound financial management and liaise with controllers designated by the programme Member/Partner states to carry out the verifications pursuant to Article 23 (4) of the ETC regulation </w:t>
      </w:r>
    </w:p>
    <w:p w:rsidR="0099587B" w:rsidRPr="00C4514D" w:rsidRDefault="0099587B" w:rsidP="00D67ECF">
      <w:pPr>
        <w:numPr>
          <w:ilvl w:val="0"/>
          <w:numId w:val="8"/>
        </w:numPr>
        <w:autoSpaceDE w:val="0"/>
        <w:autoSpaceDN w:val="0"/>
        <w:adjustRightInd w:val="0"/>
        <w:spacing w:after="180" w:line="276" w:lineRule="auto"/>
        <w:jc w:val="both"/>
        <w:rPr>
          <w:rFonts w:ascii="Verdana" w:hAnsi="Verdana" w:cs="Arial"/>
          <w:sz w:val="22"/>
          <w:szCs w:val="22"/>
        </w:rPr>
      </w:pPr>
      <w:r w:rsidRPr="00C4514D">
        <w:rPr>
          <w:rFonts w:ascii="Verdana" w:hAnsi="Verdana" w:cs="Arial"/>
          <w:sz w:val="22"/>
          <w:szCs w:val="22"/>
        </w:rPr>
        <w:t>to support the managing authority in drawing up the management declaration and the annual summary of final audits and of controls carried out</w:t>
      </w:r>
    </w:p>
    <w:p w:rsidR="0099587B" w:rsidRPr="00C4514D" w:rsidRDefault="0099587B" w:rsidP="00D67ECF">
      <w:pPr>
        <w:numPr>
          <w:ilvl w:val="0"/>
          <w:numId w:val="8"/>
        </w:numPr>
        <w:autoSpaceDE w:val="0"/>
        <w:autoSpaceDN w:val="0"/>
        <w:adjustRightInd w:val="0"/>
        <w:spacing w:after="180" w:line="276" w:lineRule="auto"/>
        <w:jc w:val="both"/>
        <w:rPr>
          <w:rFonts w:ascii="Verdana" w:hAnsi="Verdana" w:cs="Arial"/>
          <w:sz w:val="22"/>
          <w:szCs w:val="22"/>
        </w:rPr>
      </w:pPr>
      <w:r w:rsidRPr="00C4514D">
        <w:rPr>
          <w:rFonts w:ascii="Verdana" w:hAnsi="Verdana" w:cs="Arial"/>
          <w:sz w:val="22"/>
          <w:szCs w:val="22"/>
        </w:rPr>
        <w:t>to manage the Technical assistance budget (accounting, procurement, payments, reporting)</w:t>
      </w:r>
    </w:p>
    <w:p w:rsidR="0099587B" w:rsidRPr="00C4514D" w:rsidRDefault="0099587B" w:rsidP="00D67ECF">
      <w:pPr>
        <w:numPr>
          <w:ilvl w:val="0"/>
          <w:numId w:val="8"/>
        </w:numPr>
        <w:autoSpaceDE w:val="0"/>
        <w:autoSpaceDN w:val="0"/>
        <w:adjustRightInd w:val="0"/>
        <w:spacing w:after="180" w:line="276" w:lineRule="auto"/>
        <w:jc w:val="both"/>
        <w:rPr>
          <w:rFonts w:ascii="Verdana" w:hAnsi="Verdana" w:cs="Arial"/>
          <w:sz w:val="22"/>
          <w:szCs w:val="22"/>
        </w:rPr>
      </w:pPr>
      <w:r w:rsidRPr="00C4514D">
        <w:rPr>
          <w:rFonts w:ascii="Verdana" w:hAnsi="Verdana" w:cs="Arial"/>
          <w:sz w:val="22"/>
          <w:szCs w:val="22"/>
        </w:rPr>
        <w:t>to fulfil the usual work of a programme secretariat, i.e. organisation of meetings, drafting of minutes, etc.</w:t>
      </w:r>
    </w:p>
    <w:p w:rsidR="0099587B" w:rsidRPr="00C4514D" w:rsidRDefault="0099587B" w:rsidP="00D67ECF">
      <w:pPr>
        <w:numPr>
          <w:ilvl w:val="0"/>
          <w:numId w:val="8"/>
        </w:numPr>
        <w:autoSpaceDE w:val="0"/>
        <w:autoSpaceDN w:val="0"/>
        <w:adjustRightInd w:val="0"/>
        <w:spacing w:after="180" w:line="276" w:lineRule="auto"/>
        <w:jc w:val="both"/>
        <w:rPr>
          <w:rFonts w:ascii="Verdana" w:hAnsi="Verdana" w:cs="Arial"/>
          <w:sz w:val="22"/>
          <w:szCs w:val="22"/>
        </w:rPr>
      </w:pPr>
      <w:r w:rsidRPr="00C4514D">
        <w:rPr>
          <w:rFonts w:ascii="Verdana" w:hAnsi="Verdana" w:cs="Arial"/>
          <w:sz w:val="22"/>
          <w:szCs w:val="22"/>
        </w:rPr>
        <w:t>to liaise with the body ensuring the certifying authority function and to make all relevant data available to them</w:t>
      </w:r>
    </w:p>
    <w:p w:rsidR="0099587B" w:rsidRPr="00C4514D" w:rsidRDefault="0099587B" w:rsidP="00D67ECF">
      <w:pPr>
        <w:numPr>
          <w:ilvl w:val="0"/>
          <w:numId w:val="8"/>
        </w:numPr>
        <w:spacing w:after="180" w:line="276" w:lineRule="auto"/>
        <w:jc w:val="both"/>
        <w:rPr>
          <w:rFonts w:ascii="Verdana" w:hAnsi="Verdana" w:cs="Arial"/>
          <w:sz w:val="22"/>
          <w:szCs w:val="22"/>
        </w:rPr>
      </w:pPr>
      <w:r w:rsidRPr="00C4514D">
        <w:rPr>
          <w:rFonts w:ascii="Verdana" w:hAnsi="Verdana" w:cs="Arial"/>
          <w:sz w:val="22"/>
          <w:szCs w:val="22"/>
        </w:rPr>
        <w:t xml:space="preserve">to support the audit authority and the group of auditors: organisation and following up of meetings, following up of members’ lists, following the procurement procedure for the externalisation of audits, ensure a good communication flow between the audit authority, the group of auditors members, audit projects and the external audit firm, making relevant data available to these actors to allow for a smooth implementation of their tasks. </w:t>
      </w:r>
    </w:p>
    <w:p w:rsidR="0099587B" w:rsidRPr="00C4514D" w:rsidRDefault="0099587B" w:rsidP="008B00B7">
      <w:pPr>
        <w:autoSpaceDE w:val="0"/>
        <w:autoSpaceDN w:val="0"/>
        <w:adjustRightInd w:val="0"/>
        <w:spacing w:after="180" w:line="276" w:lineRule="auto"/>
        <w:rPr>
          <w:rFonts w:ascii="Verdana" w:eastAsia="MS Mincho" w:hAnsi="Verdana" w:cs="Arial"/>
          <w:sz w:val="22"/>
          <w:szCs w:val="22"/>
          <w:lang w:eastAsia="ja-JP"/>
        </w:rPr>
      </w:pPr>
    </w:p>
    <w:p w:rsidR="0099587B" w:rsidRPr="00C4514D" w:rsidRDefault="0099587B" w:rsidP="008B00B7">
      <w:pPr>
        <w:spacing w:after="180" w:line="276" w:lineRule="auto"/>
        <w:jc w:val="both"/>
        <w:rPr>
          <w:rFonts w:ascii="Verdana" w:eastAsia="Cambria" w:hAnsi="Verdana" w:cs="Arial"/>
          <w:sz w:val="22"/>
          <w:szCs w:val="22"/>
          <w:lang w:eastAsia="en-US"/>
        </w:rPr>
      </w:pPr>
      <w:r w:rsidRPr="00C4514D">
        <w:rPr>
          <w:rFonts w:ascii="Verdana" w:eastAsia="Cambria" w:hAnsi="Verdana" w:cs="Arial"/>
          <w:sz w:val="22"/>
          <w:szCs w:val="22"/>
          <w:lang w:eastAsia="en-US"/>
        </w:rPr>
        <w:t>With regard to the management of projects, the managing authority / joint secretariat shall have the following discretionary powers:</w:t>
      </w:r>
    </w:p>
    <w:p w:rsidR="001038E9" w:rsidRPr="00C4514D" w:rsidRDefault="0099587B" w:rsidP="008B00B7">
      <w:pPr>
        <w:spacing w:after="180" w:line="276" w:lineRule="auto"/>
        <w:jc w:val="both"/>
        <w:rPr>
          <w:rFonts w:ascii="Verdana" w:eastAsia="Cambria" w:hAnsi="Verdana" w:cs="Arial"/>
          <w:sz w:val="22"/>
          <w:szCs w:val="22"/>
          <w:lang w:eastAsia="en-US"/>
        </w:rPr>
      </w:pPr>
      <w:r w:rsidRPr="00C4514D">
        <w:rPr>
          <w:rFonts w:ascii="Verdana" w:eastAsia="Cambria" w:hAnsi="Verdana" w:cs="Arial"/>
          <w:sz w:val="22"/>
          <w:szCs w:val="22"/>
          <w:lang w:eastAsia="en-US"/>
        </w:rPr>
        <w:t>The managing authority / joint secretariat can decide on changes as long as the purpose and the other basic features of the project are not altered. It can also decide on changes in projects which do not have consequences on the eligibility or the results of the project.</w:t>
      </w:r>
      <w:r w:rsidR="00AA18E4" w:rsidRPr="00C4514D">
        <w:rPr>
          <w:rFonts w:ascii="Verdana" w:eastAsia="Cambria" w:hAnsi="Verdana" w:cs="Arial"/>
          <w:sz w:val="22"/>
          <w:szCs w:val="22"/>
          <w:lang w:eastAsia="en-US"/>
        </w:rPr>
        <w:t xml:space="preserve"> </w:t>
      </w:r>
      <w:r w:rsidR="001038E9" w:rsidRPr="00C4514D">
        <w:rPr>
          <w:rFonts w:ascii="Verdana" w:eastAsia="Cambria" w:hAnsi="Verdana" w:cs="Arial"/>
          <w:sz w:val="22"/>
          <w:szCs w:val="22"/>
          <w:lang w:eastAsia="en-US"/>
        </w:rPr>
        <w:t xml:space="preserve">Examples </w:t>
      </w:r>
      <w:r w:rsidR="00AA18E4" w:rsidRPr="00C4514D">
        <w:rPr>
          <w:rFonts w:ascii="Verdana" w:eastAsia="Cambria" w:hAnsi="Verdana" w:cs="Arial"/>
          <w:sz w:val="22"/>
          <w:szCs w:val="22"/>
          <w:lang w:eastAsia="en-US"/>
        </w:rPr>
        <w:t>of such changes could include changes to dates of activities, changes between budget categories without increasing the overall project budget etc.</w:t>
      </w:r>
      <w:r w:rsidR="001038E9" w:rsidRPr="00C4514D">
        <w:rPr>
          <w:rFonts w:ascii="Verdana" w:eastAsia="Cambria" w:hAnsi="Verdana" w:cs="Arial"/>
          <w:sz w:val="22"/>
          <w:szCs w:val="22"/>
          <w:lang w:eastAsia="en-US"/>
        </w:rPr>
        <w:t xml:space="preserve"> </w:t>
      </w:r>
    </w:p>
    <w:p w:rsidR="0099587B" w:rsidRPr="00C4514D" w:rsidRDefault="00AA18E4" w:rsidP="008B00B7">
      <w:pPr>
        <w:spacing w:after="180" w:line="276" w:lineRule="auto"/>
        <w:jc w:val="both"/>
        <w:rPr>
          <w:rFonts w:ascii="Verdana" w:eastAsia="Cambria" w:hAnsi="Verdana" w:cs="Arial"/>
          <w:sz w:val="22"/>
          <w:szCs w:val="22"/>
          <w:lang w:eastAsia="en-US"/>
        </w:rPr>
      </w:pPr>
      <w:r w:rsidRPr="00C4514D">
        <w:rPr>
          <w:rFonts w:ascii="Verdana" w:eastAsia="Cambria" w:hAnsi="Verdana" w:cs="Arial"/>
          <w:sz w:val="22"/>
          <w:szCs w:val="22"/>
          <w:lang w:eastAsia="en-US"/>
        </w:rPr>
        <w:t>Changes to programme level activity will be approved by the Monitoring Committee during the regular reports during monitoring committee meetings.</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The managing authority will fulfil the criteria relating to the internal control environment, risk management, management and control activities and monitoring according to article 124 and annex XIII of Regulation (EU) 1303/2013 [CPR].</w:t>
      </w:r>
    </w:p>
    <w:p w:rsidR="0099587B" w:rsidRPr="00C4514D" w:rsidRDefault="0099587B" w:rsidP="008B00B7">
      <w:pPr>
        <w:autoSpaceDE w:val="0"/>
        <w:autoSpaceDN w:val="0"/>
        <w:adjustRightInd w:val="0"/>
        <w:spacing w:after="180" w:line="276" w:lineRule="auto"/>
        <w:rPr>
          <w:rFonts w:ascii="Verdana" w:eastAsia="MS Mincho" w:hAnsi="Verdana" w:cs="Arial"/>
          <w:sz w:val="22"/>
          <w:szCs w:val="22"/>
          <w:lang w:eastAsia="ja-JP"/>
        </w:rPr>
      </w:pPr>
    </w:p>
    <w:p w:rsidR="0099587B" w:rsidRPr="00C4514D" w:rsidRDefault="0099587B" w:rsidP="008B00B7">
      <w:pPr>
        <w:autoSpaceDE w:val="0"/>
        <w:autoSpaceDN w:val="0"/>
        <w:adjustRightInd w:val="0"/>
        <w:spacing w:after="180" w:line="276" w:lineRule="auto"/>
        <w:jc w:val="both"/>
        <w:rPr>
          <w:rFonts w:ascii="Verdana" w:eastAsia="Cambria" w:hAnsi="Verdana" w:cs="Arial"/>
          <w:b/>
          <w:bCs/>
          <w:i/>
          <w:sz w:val="22"/>
          <w:szCs w:val="22"/>
          <w:lang w:eastAsia="en-US"/>
        </w:rPr>
      </w:pPr>
      <w:r w:rsidRPr="00C4514D">
        <w:rPr>
          <w:rFonts w:ascii="Verdana" w:eastAsia="Cambria" w:hAnsi="Verdana" w:cs="Arial"/>
          <w:b/>
          <w:bCs/>
          <w:i/>
          <w:sz w:val="22"/>
          <w:szCs w:val="22"/>
          <w:lang w:eastAsia="en-US"/>
        </w:rPr>
        <w:t>Role and tasks of the certifying author</w:t>
      </w:r>
      <w:r w:rsidR="000265F1" w:rsidRPr="00C4514D">
        <w:rPr>
          <w:rFonts w:ascii="Verdana" w:eastAsia="Cambria" w:hAnsi="Verdana" w:cs="Arial"/>
          <w:b/>
          <w:bCs/>
          <w:i/>
          <w:sz w:val="22"/>
          <w:szCs w:val="22"/>
          <w:lang w:eastAsia="en-US"/>
        </w:rPr>
        <w:t>ity</w:t>
      </w:r>
    </w:p>
    <w:p w:rsidR="0099587B" w:rsidRPr="00C4514D" w:rsidRDefault="0099587B" w:rsidP="008B00B7">
      <w:pPr>
        <w:shd w:val="clear" w:color="auto" w:fill="FFFFFF"/>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The certifying authority will carry out its functions in compliance with Article 126 of the Regulation (EU) 1303/2013 [CPR].  The Managing Authority shall fulfil the functions of Certifying Authority according to Article 21 of Regulation (EU) 1299/2013 [CTE]</w:t>
      </w:r>
    </w:p>
    <w:p w:rsidR="0099587B" w:rsidRPr="00C4514D" w:rsidRDefault="0099587B" w:rsidP="008B00B7">
      <w:pPr>
        <w:autoSpaceDE w:val="0"/>
        <w:autoSpaceDN w:val="0"/>
        <w:adjustRightInd w:val="0"/>
        <w:spacing w:after="180" w:line="276" w:lineRule="auto"/>
        <w:rPr>
          <w:rFonts w:ascii="Verdana" w:eastAsia="MS Mincho" w:hAnsi="Verdana" w:cs="Arial"/>
          <w:sz w:val="22"/>
          <w:szCs w:val="22"/>
          <w:lang w:eastAsia="ja-JP"/>
        </w:rPr>
      </w:pPr>
    </w:p>
    <w:p w:rsidR="0099587B" w:rsidRPr="00C4514D" w:rsidRDefault="0099587B" w:rsidP="008B00B7">
      <w:pPr>
        <w:autoSpaceDE w:val="0"/>
        <w:autoSpaceDN w:val="0"/>
        <w:adjustRightInd w:val="0"/>
        <w:spacing w:after="180" w:line="276" w:lineRule="auto"/>
        <w:jc w:val="both"/>
        <w:rPr>
          <w:rFonts w:ascii="Verdana" w:eastAsia="Cambria" w:hAnsi="Verdana" w:cs="Arial"/>
          <w:b/>
          <w:bCs/>
          <w:i/>
          <w:sz w:val="22"/>
          <w:szCs w:val="22"/>
          <w:lang w:eastAsia="en-US"/>
        </w:rPr>
      </w:pPr>
      <w:r w:rsidRPr="00C4514D">
        <w:rPr>
          <w:rFonts w:ascii="Verdana" w:eastAsia="Cambria" w:hAnsi="Verdana" w:cs="Arial"/>
          <w:b/>
          <w:bCs/>
          <w:i/>
          <w:sz w:val="22"/>
          <w:szCs w:val="22"/>
          <w:lang w:eastAsia="en-US"/>
        </w:rPr>
        <w:t>Role and tasks of the audit authority and group of auditors</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The audit authority will ensure that audits are carried out on the proper functioning of the management and control systems and on an appropriate sample of operations in compliance with Article 127 of Regulation (EU) No 1303/2013 [CPR].</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According to Article 21 of Regulation (EU) No 1299/2013 [ETC], the managing authority and the audit authority shall be located in the same Member State. In compliance with the administrative provisions in France for the audit of actions co-financed by the European Structural Funds, the “Commission Interministérielle de Coordination des Contrôles des Opérations co-financées par les Fonds Européens” (CICC) shall act as audit authority and carry out the functions provided for in Article 127 of Regulation (EU) No 1303/2013 [CPR].</w:t>
      </w:r>
    </w:p>
    <w:p w:rsidR="0099587B" w:rsidRPr="00C4514D" w:rsidRDefault="0099587B" w:rsidP="008B00B7">
      <w:pPr>
        <w:autoSpaceDE w:val="0"/>
        <w:autoSpaceDN w:val="0"/>
        <w:adjustRightInd w:val="0"/>
        <w:spacing w:after="180" w:line="276" w:lineRule="auto"/>
        <w:jc w:val="both"/>
        <w:rPr>
          <w:rFonts w:ascii="Verdana" w:eastAsia="MS Mincho" w:hAnsi="Verdana" w:cs="Arial"/>
          <w:color w:val="000000"/>
          <w:sz w:val="22"/>
          <w:szCs w:val="22"/>
          <w:lang w:eastAsia="ja-JP"/>
        </w:rPr>
      </w:pPr>
      <w:r w:rsidRPr="00C4514D">
        <w:rPr>
          <w:rFonts w:ascii="Verdana" w:eastAsia="MS Mincho" w:hAnsi="Verdana" w:cs="Arial"/>
          <w:color w:val="000000"/>
          <w:sz w:val="22"/>
          <w:szCs w:val="22"/>
          <w:lang w:eastAsia="ja-JP"/>
        </w:rPr>
        <w:t>In accordance with Article 25 (1) of Regulation (EU) No 1299/2013 [ETC] the EU-Member States, Norway and Switzerland agree that the audit authority will not be authorised to carry out directly the audit functions in the whole territory of the programme. As a consequence of this, the audit authority will be assisted by a</w:t>
      </w:r>
      <w:r w:rsidRPr="00C4514D">
        <w:rPr>
          <w:rFonts w:ascii="Verdana" w:eastAsia="MS Mincho" w:hAnsi="Verdana" w:cs="Arial"/>
          <w:b/>
          <w:bCs/>
          <w:color w:val="000000"/>
          <w:sz w:val="22"/>
          <w:szCs w:val="22"/>
          <w:lang w:eastAsia="ja-JP"/>
        </w:rPr>
        <w:t xml:space="preserve"> </w:t>
      </w:r>
      <w:r w:rsidRPr="00C4514D">
        <w:rPr>
          <w:rFonts w:ascii="Verdana" w:eastAsia="MS Mincho" w:hAnsi="Verdana" w:cs="Arial"/>
          <w:bCs/>
          <w:color w:val="000000"/>
          <w:sz w:val="22"/>
          <w:szCs w:val="22"/>
          <w:lang w:eastAsia="ja-JP"/>
        </w:rPr>
        <w:t>group of auditors</w:t>
      </w:r>
      <w:r w:rsidRPr="00C4514D">
        <w:rPr>
          <w:rFonts w:ascii="Verdana" w:eastAsia="MS Mincho" w:hAnsi="Verdana" w:cs="Arial"/>
          <w:color w:val="000000"/>
          <w:sz w:val="22"/>
          <w:szCs w:val="22"/>
          <w:lang w:eastAsia="ja-JP"/>
        </w:rPr>
        <w:t xml:space="preserve"> comprising representatives of each Member/Partner State participating in the programme carrying out the duties provided for in Article 127 of Regulation (EU) No 1303/2013 [CPR]. Each Member/Partner State shall be responsible for the audits carried out on its territory. As a consequence, the representatives have to be entitled to participate in decision-making within the group of auditors on behalf of the respective Member/Partner State and be from a unit independent from the monitoring committee members, the controllers designated according to Article 23 of Regulation (EU) 1299/2013 [ETC] and any project’s activities and finances. The contact details of the respective independent body/unit representing the Member/Partner States in the group of auditors </w:t>
      </w:r>
      <w:r w:rsidRPr="00C4514D">
        <w:rPr>
          <w:rFonts w:ascii="Verdana" w:eastAsia="Cambria" w:hAnsi="Verdana" w:cs="Arial"/>
          <w:sz w:val="22"/>
          <w:szCs w:val="22"/>
          <w:lang w:eastAsia="en-US"/>
        </w:rPr>
        <w:t xml:space="preserve">will be included in the agreement signed by each </w:t>
      </w:r>
      <w:r w:rsidRPr="00C4514D">
        <w:rPr>
          <w:rFonts w:ascii="Verdana" w:eastAsia="MS Mincho" w:hAnsi="Verdana" w:cs="Arial"/>
          <w:color w:val="000000"/>
          <w:sz w:val="22"/>
          <w:szCs w:val="22"/>
          <w:lang w:eastAsia="ja-JP"/>
        </w:rPr>
        <w:t>Member/Partner State</w:t>
      </w:r>
      <w:r w:rsidRPr="00C4514D">
        <w:rPr>
          <w:rFonts w:ascii="Verdana" w:eastAsia="Cambria" w:hAnsi="Verdana" w:cs="Arial"/>
          <w:sz w:val="22"/>
          <w:szCs w:val="22"/>
          <w:lang w:eastAsia="en-US"/>
        </w:rPr>
        <w:t xml:space="preserve"> submitted with the operational programme. Lists will be updated with the annual control reports.</w:t>
      </w:r>
      <w:r w:rsidRPr="00C4514D">
        <w:rPr>
          <w:rFonts w:ascii="Verdana" w:eastAsia="MS Mincho" w:hAnsi="Verdana" w:cs="Arial"/>
          <w:color w:val="000000"/>
          <w:sz w:val="22"/>
          <w:szCs w:val="22"/>
          <w:lang w:eastAsia="ja-JP"/>
        </w:rPr>
        <w:t xml:space="preserve"> </w:t>
      </w:r>
    </w:p>
    <w:p w:rsidR="0099587B" w:rsidRPr="00C4514D" w:rsidRDefault="0099587B" w:rsidP="008B00B7">
      <w:pPr>
        <w:autoSpaceDE w:val="0"/>
        <w:autoSpaceDN w:val="0"/>
        <w:adjustRightInd w:val="0"/>
        <w:spacing w:after="180" w:line="276" w:lineRule="auto"/>
        <w:jc w:val="both"/>
        <w:rPr>
          <w:rFonts w:ascii="Verdana" w:eastAsia="MS Mincho" w:hAnsi="Verdana" w:cs="Arial"/>
          <w:color w:val="000000"/>
          <w:sz w:val="22"/>
          <w:szCs w:val="22"/>
          <w:lang w:eastAsia="ja-JP"/>
        </w:rPr>
      </w:pPr>
      <w:r w:rsidRPr="00C4514D">
        <w:rPr>
          <w:rFonts w:ascii="Verdana" w:eastAsia="MS Mincho" w:hAnsi="Verdana" w:cs="Arial"/>
          <w:color w:val="000000"/>
          <w:sz w:val="22"/>
          <w:szCs w:val="22"/>
          <w:lang w:eastAsia="ja-JP"/>
        </w:rPr>
        <w:t xml:space="preserve">The group of auditors will be set up within three months of the decision approving the cooperation programme. It shall be chaired by the audit authority. In accordance with Article 25 (2) of </w:t>
      </w:r>
      <w:r w:rsidRPr="00C4514D">
        <w:rPr>
          <w:rFonts w:ascii="Verdana" w:eastAsia="MS Mincho" w:hAnsi="Verdana" w:cs="Arial"/>
          <w:sz w:val="22"/>
          <w:szCs w:val="22"/>
          <w:lang w:eastAsia="ja-JP"/>
        </w:rPr>
        <w:t>Regulation (EU) 1299/2013 [CTE]</w:t>
      </w:r>
      <w:r w:rsidRPr="00C4514D">
        <w:rPr>
          <w:rFonts w:ascii="Verdana" w:eastAsia="MS Mincho" w:hAnsi="Verdana" w:cs="Arial"/>
          <w:color w:val="000000"/>
          <w:sz w:val="22"/>
          <w:szCs w:val="22"/>
          <w:lang w:eastAsia="ja-JP"/>
        </w:rPr>
        <w:t xml:space="preserve">, the group of auditors shall draw up, its own rules of procedure and be chaired by the audit authority for the cooperation programme. </w:t>
      </w:r>
    </w:p>
    <w:p w:rsidR="0099587B" w:rsidRPr="00C4514D" w:rsidRDefault="0099587B" w:rsidP="008B00B7">
      <w:pPr>
        <w:spacing w:after="180" w:line="276" w:lineRule="auto"/>
        <w:jc w:val="both"/>
        <w:rPr>
          <w:rFonts w:ascii="Verdana" w:hAnsi="Verdana" w:cs="Arial"/>
          <w:sz w:val="22"/>
          <w:szCs w:val="22"/>
        </w:rPr>
      </w:pPr>
      <w:r w:rsidRPr="00C4514D">
        <w:rPr>
          <w:rFonts w:ascii="Verdana" w:hAnsi="Verdana" w:cs="Arial"/>
          <w:bCs/>
          <w:color w:val="000000"/>
          <w:sz w:val="22"/>
          <w:szCs w:val="22"/>
        </w:rPr>
        <w:t xml:space="preserve">The AA, in agreement with the GoA (and the MC for the budgetary provisions), may decide to contract an external audit firm to carry out the audits and prepare documents referred to in Article 127 of Regulation (EU) 1303/2013. </w:t>
      </w:r>
    </w:p>
    <w:p w:rsidR="0099587B" w:rsidRPr="00C4514D" w:rsidRDefault="0099587B" w:rsidP="008D5F4A">
      <w:pPr>
        <w:spacing w:after="180" w:line="276" w:lineRule="auto"/>
        <w:rPr>
          <w:rFonts w:ascii="Verdana" w:hAnsi="Verdana" w:cs="Arial"/>
          <w:sz w:val="22"/>
          <w:szCs w:val="22"/>
        </w:rPr>
      </w:pPr>
      <w:r w:rsidRPr="00C4514D">
        <w:rPr>
          <w:rFonts w:ascii="Verdana" w:hAnsi="Verdana" w:cs="Arial"/>
          <w:bCs/>
          <w:color w:val="000000"/>
          <w:sz w:val="22"/>
          <w:szCs w:val="22"/>
        </w:rPr>
        <w:t> The quality and completeness of the audit work carried out and/or the documents mentioned here above will be ensured by the audit authority together with the group of auditors, assisted by the joint secretariat. The joint secretariat will inform the monitoring committee of the results of the audit work and necessary follow-up.</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p>
    <w:p w:rsidR="0099587B" w:rsidRPr="00C4514D" w:rsidRDefault="0099587B" w:rsidP="008B00B7">
      <w:pPr>
        <w:autoSpaceDE w:val="0"/>
        <w:autoSpaceDN w:val="0"/>
        <w:adjustRightInd w:val="0"/>
        <w:spacing w:after="180" w:line="276" w:lineRule="auto"/>
        <w:jc w:val="both"/>
        <w:rPr>
          <w:rFonts w:ascii="Verdana" w:eastAsia="Cambria" w:hAnsi="Verdana" w:cs="Arial"/>
          <w:b/>
          <w:bCs/>
          <w:i/>
          <w:sz w:val="22"/>
          <w:szCs w:val="22"/>
          <w:lang w:eastAsia="en-US"/>
        </w:rPr>
      </w:pPr>
      <w:r w:rsidRPr="00C4514D">
        <w:rPr>
          <w:rFonts w:ascii="Verdana" w:eastAsia="Cambria" w:hAnsi="Verdana" w:cs="Arial"/>
          <w:b/>
          <w:bCs/>
          <w:i/>
          <w:sz w:val="22"/>
          <w:szCs w:val="22"/>
          <w:lang w:eastAsia="en-US"/>
        </w:rPr>
        <w:t>Role and tasks of the monitoring committee</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According to Article 47 of Regulation (EU) 1303/2013 [CPR], within three months of the date of notification of the decision adopting a programme, the Member/Partner States will set up a committee to monitor implementation of the programme, in agreement with the managing authority. The monitoring committee will draw up and adopt its rules of procedure. The monitoring committee’s rules of procedure with detailed provisions will be drawn up before signature of the written Member/Partner State agreement and approved during the first monitoring committee meeting. </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The monitoring committee is made up of:</w:t>
      </w:r>
    </w:p>
    <w:p w:rsidR="0099587B" w:rsidRPr="00C4514D" w:rsidRDefault="0099587B" w:rsidP="00D67ECF">
      <w:pPr>
        <w:numPr>
          <w:ilvl w:val="0"/>
          <w:numId w:val="48"/>
        </w:numPr>
        <w:autoSpaceDE w:val="0"/>
        <w:autoSpaceDN w:val="0"/>
        <w:adjustRightInd w:val="0"/>
        <w:spacing w:after="180" w:line="276" w:lineRule="auto"/>
        <w:ind w:left="714" w:hanging="357"/>
        <w:jc w:val="both"/>
        <w:rPr>
          <w:rFonts w:ascii="Verdana" w:eastAsia="MS Mincho" w:hAnsi="Verdana" w:cs="Arial"/>
          <w:sz w:val="22"/>
          <w:szCs w:val="22"/>
          <w:lang w:eastAsia="ja-JP"/>
        </w:rPr>
      </w:pPr>
      <w:r w:rsidRPr="00C4514D">
        <w:rPr>
          <w:rFonts w:ascii="Verdana" w:eastAsia="MS Mincho" w:hAnsi="Verdana" w:cs="Arial"/>
          <w:sz w:val="22"/>
          <w:szCs w:val="22"/>
          <w:lang w:eastAsia="ja-JP"/>
        </w:rPr>
        <w:t>up to three representatives per country (EU 28, Norway, Switzerland);</w:t>
      </w:r>
    </w:p>
    <w:p w:rsidR="0099587B" w:rsidRPr="00C4514D" w:rsidRDefault="0099587B" w:rsidP="00D67ECF">
      <w:pPr>
        <w:numPr>
          <w:ilvl w:val="0"/>
          <w:numId w:val="48"/>
        </w:numPr>
        <w:autoSpaceDE w:val="0"/>
        <w:autoSpaceDN w:val="0"/>
        <w:adjustRightInd w:val="0"/>
        <w:spacing w:after="180" w:line="276" w:lineRule="auto"/>
        <w:ind w:left="714" w:hanging="357"/>
        <w:jc w:val="both"/>
        <w:rPr>
          <w:rFonts w:ascii="Verdana" w:eastAsia="MS Mincho" w:hAnsi="Verdana" w:cs="Arial"/>
          <w:sz w:val="22"/>
          <w:szCs w:val="22"/>
          <w:lang w:eastAsia="ja-JP"/>
        </w:rPr>
      </w:pPr>
      <w:r w:rsidRPr="00C4514D">
        <w:rPr>
          <w:rFonts w:ascii="Verdana" w:eastAsia="MS Mincho" w:hAnsi="Verdana" w:cs="Arial"/>
          <w:sz w:val="22"/>
          <w:szCs w:val="22"/>
          <w:lang w:eastAsia="ja-JP"/>
        </w:rPr>
        <w:t>representatives of the European Commission, and other appropriate EU level institutions to be determined in the rules of procedure will participate in the monitoring committee in an advisory capacity</w:t>
      </w:r>
    </w:p>
    <w:p w:rsidR="0099587B" w:rsidRPr="00C4514D" w:rsidRDefault="0099587B" w:rsidP="00D67ECF">
      <w:pPr>
        <w:numPr>
          <w:ilvl w:val="0"/>
          <w:numId w:val="49"/>
        </w:numPr>
        <w:autoSpaceDE w:val="0"/>
        <w:autoSpaceDN w:val="0"/>
        <w:adjustRightInd w:val="0"/>
        <w:spacing w:after="180" w:line="276" w:lineRule="auto"/>
        <w:ind w:left="714" w:hanging="357"/>
        <w:jc w:val="both"/>
        <w:rPr>
          <w:rFonts w:ascii="Verdana" w:eastAsia="MS Mincho" w:hAnsi="Verdana" w:cs="Arial"/>
          <w:sz w:val="22"/>
          <w:szCs w:val="22"/>
          <w:lang w:eastAsia="ja-JP"/>
        </w:rPr>
      </w:pPr>
      <w:r w:rsidRPr="00C4514D">
        <w:rPr>
          <w:rFonts w:ascii="Verdana" w:eastAsia="MS Mincho" w:hAnsi="Verdana" w:cs="Arial"/>
          <w:sz w:val="22"/>
          <w:szCs w:val="22"/>
          <w:lang w:eastAsia="ja-JP"/>
        </w:rPr>
        <w:t>the managing authority, the joint secretariat and, where necessary, the certifying authority and the audit authority, will also participate in an advisory capacity.</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The monitoring committee in accordance with Article 49 of Regulation (EU) 1303/2013 [CPR] shall review the implementation of the programme and progress towards achieving its objectives, and more specifically the functions listed in Article 110 of Regulation (EU) No 1303/2013 [CPR]. The monitoring committee will also adopt the methodology, criteria for selection of operations and the eligibility rules before the launch of each call for proposals. </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The representatives of the monitoring committee will ensure that on the national level all relevant partners are involved in the preparation, implementation, monitoring and evaluation of the cooperation programme as referred to in Article 5(2) of Regulation (EU) No 1303/2013 [CPR].  </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With regard to the tasks of the monitoring committee it shall be ensured that decisions of the monitoring committee will be free from bias and must not be influenced by partial personal and/or organisational interest of any of the individual members of this committee. Any members who have a conflict of interest in respect of any subject matter up for consideration by the monitoring committee shall declare such interest to the meeting and shall not take part in the decision. The monitoring committee will set out the details of this procedure in the monitoring committee’s rules of procedure.</w:t>
      </w:r>
    </w:p>
    <w:p w:rsidR="0099587B" w:rsidRPr="00C4514D" w:rsidRDefault="0099587B" w:rsidP="008B00B7">
      <w:pPr>
        <w:autoSpaceDE w:val="0"/>
        <w:autoSpaceDN w:val="0"/>
        <w:adjustRightInd w:val="0"/>
        <w:spacing w:after="180" w:line="276" w:lineRule="auto"/>
        <w:jc w:val="both"/>
        <w:rPr>
          <w:rFonts w:ascii="Verdana" w:eastAsia="Cambria" w:hAnsi="Verdana" w:cs="Arial"/>
          <w:b/>
          <w:iCs/>
          <w:sz w:val="22"/>
          <w:szCs w:val="22"/>
          <w:lang w:eastAsia="en-US"/>
        </w:rPr>
      </w:pPr>
    </w:p>
    <w:p w:rsidR="0099587B" w:rsidRPr="00C4514D" w:rsidRDefault="0099587B" w:rsidP="008B00B7">
      <w:pPr>
        <w:autoSpaceDE w:val="0"/>
        <w:autoSpaceDN w:val="0"/>
        <w:adjustRightInd w:val="0"/>
        <w:spacing w:after="180" w:line="276" w:lineRule="auto"/>
        <w:jc w:val="both"/>
        <w:rPr>
          <w:rFonts w:ascii="Verdana" w:eastAsia="Cambria" w:hAnsi="Verdana" w:cs="Arial"/>
          <w:b/>
          <w:i/>
          <w:iCs/>
          <w:sz w:val="22"/>
          <w:szCs w:val="22"/>
          <w:lang w:eastAsia="en-US"/>
        </w:rPr>
      </w:pPr>
      <w:r w:rsidRPr="00C4514D">
        <w:rPr>
          <w:rFonts w:ascii="Verdana" w:eastAsia="Cambria" w:hAnsi="Verdana" w:cs="Arial"/>
          <w:b/>
          <w:i/>
          <w:iCs/>
          <w:sz w:val="22"/>
          <w:szCs w:val="22"/>
          <w:lang w:eastAsia="en-US"/>
        </w:rPr>
        <w:t>Organisation of the assessment, selection of operations and resolution of complaints</w:t>
      </w:r>
    </w:p>
    <w:p w:rsidR="0099587B" w:rsidRPr="00C4514D" w:rsidRDefault="0099587B" w:rsidP="008B00B7">
      <w:pPr>
        <w:autoSpaceDE w:val="0"/>
        <w:autoSpaceDN w:val="0"/>
        <w:adjustRightInd w:val="0"/>
        <w:spacing w:after="180" w:line="276" w:lineRule="auto"/>
        <w:jc w:val="both"/>
        <w:rPr>
          <w:rFonts w:ascii="Verdana" w:eastAsia="Cambria" w:hAnsi="Verdana" w:cs="Arial"/>
          <w:color w:val="000000"/>
          <w:sz w:val="22"/>
          <w:szCs w:val="22"/>
          <w:lang w:eastAsia="en-US"/>
        </w:rPr>
      </w:pPr>
      <w:r w:rsidRPr="00C4514D">
        <w:rPr>
          <w:rFonts w:ascii="Verdana" w:eastAsia="Cambria" w:hAnsi="Verdana" w:cs="Arial"/>
          <w:color w:val="000000"/>
          <w:sz w:val="22"/>
          <w:szCs w:val="22"/>
          <w:lang w:eastAsia="en-US"/>
        </w:rPr>
        <w:t xml:space="preserve">Project applications shall be submitted following calls for proposals whose terms of reference will be published on the programme website. Details of the selection procedure will also be made available to all applicants through the programme manual. The applications submitted will be made available to the members of the monitoring committee. The </w:t>
      </w:r>
      <w:r w:rsidR="00AA18E4" w:rsidRPr="00C4514D">
        <w:rPr>
          <w:rFonts w:ascii="Verdana" w:eastAsia="Cambria" w:hAnsi="Verdana" w:cs="Arial"/>
          <w:color w:val="000000"/>
          <w:sz w:val="22"/>
          <w:szCs w:val="22"/>
          <w:lang w:eastAsia="en-US"/>
        </w:rPr>
        <w:t xml:space="preserve">joint secretariat on behalf of the </w:t>
      </w:r>
      <w:r w:rsidRPr="00C4514D">
        <w:rPr>
          <w:rFonts w:ascii="Verdana" w:eastAsia="Cambria" w:hAnsi="Verdana" w:cs="Arial"/>
          <w:color w:val="000000"/>
          <w:sz w:val="22"/>
          <w:szCs w:val="22"/>
          <w:lang w:eastAsia="en-US"/>
        </w:rPr>
        <w:t>managing authority organises the impartial assessment of these applications based on the eligibility and quality criteria approved by the monitoring committee, and makes a proposal for a decision to the monitoring committee.</w:t>
      </w:r>
    </w:p>
    <w:p w:rsidR="0099587B" w:rsidRPr="00C4514D" w:rsidRDefault="0099587B" w:rsidP="008B00B7">
      <w:pPr>
        <w:autoSpaceDE w:val="0"/>
        <w:autoSpaceDN w:val="0"/>
        <w:adjustRightInd w:val="0"/>
        <w:spacing w:after="180" w:line="276" w:lineRule="auto"/>
        <w:jc w:val="both"/>
        <w:rPr>
          <w:rFonts w:ascii="Verdana" w:eastAsia="Cambria" w:hAnsi="Verdana" w:cs="Arial"/>
          <w:iCs/>
          <w:sz w:val="22"/>
          <w:szCs w:val="22"/>
          <w:lang w:eastAsia="en-US"/>
        </w:rPr>
      </w:pPr>
      <w:r w:rsidRPr="00C4514D">
        <w:rPr>
          <w:rFonts w:ascii="Verdana" w:eastAsia="Cambria" w:hAnsi="Verdana" w:cs="Arial"/>
          <w:iCs/>
          <w:sz w:val="22"/>
          <w:szCs w:val="22"/>
          <w:lang w:eastAsia="en-US"/>
        </w:rPr>
        <w:t xml:space="preserve">Each Member/Partner State is in charge of </w:t>
      </w:r>
      <w:r w:rsidR="000F5065" w:rsidRPr="00C4514D">
        <w:rPr>
          <w:rFonts w:ascii="Verdana" w:eastAsia="Cambria" w:hAnsi="Verdana" w:cs="Arial"/>
          <w:iCs/>
          <w:sz w:val="22"/>
          <w:szCs w:val="22"/>
          <w:lang w:eastAsia="en-US"/>
        </w:rPr>
        <w:t xml:space="preserve">assisting the JS in the verification of </w:t>
      </w:r>
      <w:r w:rsidR="00B56141" w:rsidRPr="00C4514D">
        <w:rPr>
          <w:rFonts w:ascii="Verdana" w:eastAsia="Cambria" w:hAnsi="Verdana" w:cs="Arial"/>
          <w:iCs/>
          <w:sz w:val="22"/>
          <w:szCs w:val="22"/>
          <w:lang w:eastAsia="en-US"/>
        </w:rPr>
        <w:t xml:space="preserve">eligibility of </w:t>
      </w:r>
      <w:r w:rsidR="000F5065" w:rsidRPr="00C4514D">
        <w:rPr>
          <w:rFonts w:ascii="Verdana" w:eastAsia="Cambria" w:hAnsi="Verdana" w:cs="Arial"/>
          <w:iCs/>
          <w:sz w:val="22"/>
          <w:szCs w:val="22"/>
          <w:lang w:eastAsia="en-US"/>
        </w:rPr>
        <w:t>project partners</w:t>
      </w:r>
      <w:r w:rsidR="00B56141" w:rsidRPr="00C4514D">
        <w:rPr>
          <w:rFonts w:ascii="Verdana" w:eastAsia="Cambria" w:hAnsi="Verdana" w:cs="Arial"/>
          <w:iCs/>
          <w:sz w:val="22"/>
          <w:szCs w:val="22"/>
          <w:lang w:eastAsia="en-US"/>
        </w:rPr>
        <w:t xml:space="preserve"> located on its territory</w:t>
      </w:r>
      <w:r w:rsidRPr="00C4514D">
        <w:rPr>
          <w:rFonts w:ascii="Verdana" w:eastAsia="Cambria" w:hAnsi="Verdana" w:cs="Arial"/>
          <w:iCs/>
          <w:sz w:val="22"/>
          <w:szCs w:val="22"/>
          <w:lang w:eastAsia="en-US"/>
        </w:rPr>
        <w:t xml:space="preserve">, where </w:t>
      </w:r>
      <w:r w:rsidR="00B56141" w:rsidRPr="00C4514D">
        <w:rPr>
          <w:rFonts w:ascii="Verdana" w:eastAsia="Cambria" w:hAnsi="Verdana" w:cs="Arial"/>
          <w:iCs/>
          <w:sz w:val="22"/>
          <w:szCs w:val="22"/>
          <w:lang w:eastAsia="en-US"/>
        </w:rPr>
        <w:t>necessary</w:t>
      </w:r>
      <w:r w:rsidRPr="00C4514D">
        <w:rPr>
          <w:rFonts w:ascii="Verdana" w:eastAsia="Cambria" w:hAnsi="Verdana" w:cs="Arial"/>
          <w:iCs/>
          <w:sz w:val="22"/>
          <w:szCs w:val="22"/>
          <w:lang w:eastAsia="en-US"/>
        </w:rPr>
        <w:t>. This should be preferably done prior to the project approval by the monitoring committee. Any Member / Partner State can reject the participation of project partners on their territory</w:t>
      </w:r>
      <w:r w:rsidR="00AA18E4" w:rsidRPr="00C4514D">
        <w:rPr>
          <w:rFonts w:ascii="Verdana" w:eastAsia="Cambria" w:hAnsi="Verdana" w:cs="Arial"/>
          <w:iCs/>
          <w:sz w:val="22"/>
          <w:szCs w:val="22"/>
          <w:lang w:eastAsia="en-US"/>
        </w:rPr>
        <w:t>,</w:t>
      </w:r>
      <w:r w:rsidRPr="00C4514D">
        <w:rPr>
          <w:rFonts w:ascii="Verdana" w:eastAsia="Cambria" w:hAnsi="Verdana" w:cs="Arial"/>
          <w:iCs/>
          <w:sz w:val="22"/>
          <w:szCs w:val="22"/>
          <w:lang w:eastAsia="en-US"/>
        </w:rPr>
        <w:t xml:space="preserve"> </w:t>
      </w:r>
      <w:r w:rsidR="00AA18E4" w:rsidRPr="00C4514D">
        <w:rPr>
          <w:rFonts w:ascii="Verdana" w:eastAsia="Cambria" w:hAnsi="Verdana" w:cs="Arial"/>
          <w:iCs/>
          <w:sz w:val="22"/>
          <w:szCs w:val="22"/>
          <w:lang w:eastAsia="en-US"/>
        </w:rPr>
        <w:t>providing justification,</w:t>
      </w:r>
      <w:r w:rsidRPr="00C4514D">
        <w:rPr>
          <w:rFonts w:ascii="Verdana" w:eastAsia="Cambria" w:hAnsi="Verdana" w:cs="Arial"/>
          <w:iCs/>
          <w:sz w:val="22"/>
          <w:szCs w:val="22"/>
          <w:lang w:eastAsia="en-US"/>
        </w:rPr>
        <w:t xml:space="preserve"> without rejecting the whole project proposal.</w:t>
      </w:r>
    </w:p>
    <w:p w:rsidR="0099587B" w:rsidRPr="00C4514D" w:rsidRDefault="0099587B" w:rsidP="008B00B7">
      <w:pPr>
        <w:autoSpaceDE w:val="0"/>
        <w:autoSpaceDN w:val="0"/>
        <w:adjustRightInd w:val="0"/>
        <w:spacing w:after="180" w:line="276" w:lineRule="auto"/>
        <w:jc w:val="both"/>
        <w:rPr>
          <w:rFonts w:ascii="Verdana" w:eastAsia="Cambria" w:hAnsi="Verdana" w:cs="Arial"/>
          <w:iCs/>
          <w:sz w:val="22"/>
          <w:szCs w:val="22"/>
          <w:lang w:eastAsia="en-US"/>
        </w:rPr>
      </w:pPr>
      <w:r w:rsidRPr="00C4514D">
        <w:rPr>
          <w:rFonts w:ascii="Verdana" w:eastAsia="Cambria" w:hAnsi="Verdana" w:cs="Arial"/>
          <w:iCs/>
          <w:sz w:val="22"/>
          <w:szCs w:val="22"/>
          <w:lang w:eastAsia="en-US"/>
        </w:rPr>
        <w:t>Project lead applicants are informed in writing about the reasons why an application was not eligible or approved. Any questions in relation to the assessments will be examined and answered by the managing authority. If needed, remaining complaints will be examined and answered jointly by the chair of the monitoring committee and the managing authority/joint secretariat. The chair may decide to refer back a complaint to the monitoring committee, should s/he judge it necessary. An overview of complaints examined and answered by the chair of the monitoring committee and managing authority will be provided to the monitoring committee in the following meeting. The same complaint procedure as described will also apply to other stages of the project implementation controlled by programme bodies, such as the progress monitoring.</w:t>
      </w:r>
    </w:p>
    <w:p w:rsidR="0099587B" w:rsidRPr="00C4514D" w:rsidRDefault="0099587B" w:rsidP="008B00B7">
      <w:pPr>
        <w:autoSpaceDE w:val="0"/>
        <w:autoSpaceDN w:val="0"/>
        <w:adjustRightInd w:val="0"/>
        <w:spacing w:after="180" w:line="276" w:lineRule="auto"/>
        <w:jc w:val="both"/>
        <w:rPr>
          <w:rFonts w:ascii="Verdana" w:eastAsia="Cambria" w:hAnsi="Verdana" w:cs="Arial"/>
          <w:b/>
          <w:iCs/>
          <w:sz w:val="22"/>
          <w:szCs w:val="22"/>
          <w:lang w:eastAsia="en-US"/>
        </w:rPr>
      </w:pPr>
    </w:p>
    <w:p w:rsidR="0099587B" w:rsidRPr="00C4514D" w:rsidRDefault="0099587B" w:rsidP="008B00B7">
      <w:pPr>
        <w:autoSpaceDE w:val="0"/>
        <w:autoSpaceDN w:val="0"/>
        <w:adjustRightInd w:val="0"/>
        <w:spacing w:after="180" w:line="276" w:lineRule="auto"/>
        <w:jc w:val="both"/>
        <w:rPr>
          <w:rFonts w:ascii="Verdana" w:eastAsia="Cambria" w:hAnsi="Verdana" w:cs="Arial"/>
          <w:b/>
          <w:i/>
          <w:iCs/>
          <w:sz w:val="22"/>
          <w:szCs w:val="22"/>
          <w:lang w:eastAsia="en-US"/>
        </w:rPr>
      </w:pPr>
      <w:r w:rsidRPr="00C4514D">
        <w:rPr>
          <w:rFonts w:ascii="Verdana" w:eastAsia="Cambria" w:hAnsi="Verdana" w:cs="Arial"/>
          <w:b/>
          <w:i/>
          <w:iCs/>
          <w:sz w:val="22"/>
          <w:szCs w:val="22"/>
          <w:lang w:eastAsia="en-US"/>
        </w:rPr>
        <w:t>Procedure for the signature of the document setting out the condition</w:t>
      </w:r>
      <w:r w:rsidR="000265F1" w:rsidRPr="00C4514D">
        <w:rPr>
          <w:rFonts w:ascii="Verdana" w:eastAsia="Cambria" w:hAnsi="Verdana" w:cs="Arial"/>
          <w:b/>
          <w:i/>
          <w:iCs/>
          <w:sz w:val="22"/>
          <w:szCs w:val="22"/>
          <w:lang w:eastAsia="en-US"/>
        </w:rPr>
        <w:t>s of support “subsidy contract”</w:t>
      </w:r>
      <w:r w:rsidRPr="00C4514D">
        <w:rPr>
          <w:rFonts w:ascii="Verdana" w:eastAsia="Cambria" w:hAnsi="Verdana" w:cs="Arial"/>
          <w:b/>
          <w:i/>
          <w:iCs/>
          <w:sz w:val="22"/>
          <w:szCs w:val="22"/>
          <w:lang w:eastAsia="en-US"/>
        </w:rPr>
        <w:t xml:space="preserve"> </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 xml:space="preserve">Following the decision of the MC, the MA (through the JS) will draft a Subsidy Contract. The MA shall use a standard form of Subsidy Contract which is approved by the MC and lays down further details concerning the responsibilities and liabilities of the beneficiaries. The Subsidy Contract is signed by the MA and shall be addressed to the project lead partner. The MA shall make sure that the Subsidy Contracts make lead partner aware of their obligation to: </w:t>
      </w:r>
    </w:p>
    <w:p w:rsidR="0099587B" w:rsidRPr="00C4514D" w:rsidRDefault="0099587B" w:rsidP="00D67ECF">
      <w:pPr>
        <w:pStyle w:val="afd"/>
        <w:numPr>
          <w:ilvl w:val="0"/>
          <w:numId w:val="50"/>
        </w:numPr>
        <w:autoSpaceDE w:val="0"/>
        <w:autoSpaceDN w:val="0"/>
        <w:adjustRightInd w:val="0"/>
        <w:spacing w:after="180"/>
        <w:ind w:left="714" w:hanging="357"/>
        <w:jc w:val="both"/>
        <w:rPr>
          <w:rFonts w:ascii="Verdana" w:hAnsi="Verdana" w:cs="Arial"/>
          <w:color w:val="000000"/>
        </w:rPr>
      </w:pPr>
      <w:r w:rsidRPr="00C4514D">
        <w:rPr>
          <w:rFonts w:ascii="Verdana" w:hAnsi="Verdana" w:cs="Arial"/>
          <w:color w:val="000000"/>
        </w:rPr>
        <w:t>accept controls and give access to their business premises to any authorized body (JS on behalf of the MA, MA, CA, AA, Commission services and European Court of Auditors) for control and audit purposes in compliance with article 132 of Regulation (EU) 1303/2013 [CPR],</w:t>
      </w:r>
    </w:p>
    <w:p w:rsidR="0099587B" w:rsidRPr="00C4514D" w:rsidRDefault="0099587B" w:rsidP="00D67ECF">
      <w:pPr>
        <w:pStyle w:val="afd"/>
        <w:numPr>
          <w:ilvl w:val="0"/>
          <w:numId w:val="50"/>
        </w:numPr>
        <w:autoSpaceDE w:val="0"/>
        <w:autoSpaceDN w:val="0"/>
        <w:adjustRightInd w:val="0"/>
        <w:spacing w:after="180"/>
        <w:ind w:left="714" w:hanging="357"/>
        <w:jc w:val="both"/>
        <w:rPr>
          <w:rFonts w:ascii="Verdana" w:hAnsi="Verdana" w:cs="Arial"/>
          <w:color w:val="000000"/>
        </w:rPr>
      </w:pPr>
      <w:r w:rsidRPr="00C4514D">
        <w:rPr>
          <w:rFonts w:ascii="Verdana" w:hAnsi="Verdana" w:cs="Arial"/>
          <w:color w:val="000000"/>
        </w:rPr>
        <w:t xml:space="preserve">provide and give access to all the information and documents supporting the audit trail in accordance with the requirements of Article 72(g) of Regulation (EU) 1303/2013 [CPR], </w:t>
      </w:r>
    </w:p>
    <w:p w:rsidR="0099587B" w:rsidRPr="00C4514D" w:rsidRDefault="0099587B" w:rsidP="00D67ECF">
      <w:pPr>
        <w:pStyle w:val="afd"/>
        <w:numPr>
          <w:ilvl w:val="0"/>
          <w:numId w:val="50"/>
        </w:numPr>
        <w:autoSpaceDE w:val="0"/>
        <w:autoSpaceDN w:val="0"/>
        <w:adjustRightInd w:val="0"/>
        <w:spacing w:after="180"/>
        <w:ind w:left="714" w:hanging="357"/>
        <w:jc w:val="both"/>
        <w:rPr>
          <w:rFonts w:ascii="Verdana" w:hAnsi="Verdana" w:cs="Arial"/>
          <w:color w:val="000000"/>
        </w:rPr>
      </w:pPr>
      <w:r w:rsidRPr="00C4514D">
        <w:rPr>
          <w:rFonts w:ascii="Verdana" w:hAnsi="Verdana" w:cs="Arial"/>
          <w:color w:val="000000"/>
        </w:rPr>
        <w:t>respect of public procurement, information and publicity, environmental protection and equal opportunities rules,</w:t>
      </w:r>
    </w:p>
    <w:p w:rsidR="0099587B" w:rsidRPr="00C4514D" w:rsidRDefault="0099587B" w:rsidP="00D67ECF">
      <w:pPr>
        <w:pStyle w:val="afd"/>
        <w:numPr>
          <w:ilvl w:val="0"/>
          <w:numId w:val="50"/>
        </w:numPr>
        <w:autoSpaceDE w:val="0"/>
        <w:autoSpaceDN w:val="0"/>
        <w:adjustRightInd w:val="0"/>
        <w:spacing w:after="180"/>
        <w:ind w:left="714" w:hanging="357"/>
        <w:jc w:val="both"/>
        <w:rPr>
          <w:rFonts w:ascii="Verdana" w:hAnsi="Verdana" w:cs="Arial"/>
          <w:color w:val="000000"/>
        </w:rPr>
      </w:pPr>
      <w:r w:rsidRPr="00C4514D">
        <w:rPr>
          <w:rFonts w:ascii="Verdana" w:hAnsi="Verdana" w:cs="Arial"/>
          <w:color w:val="000000"/>
        </w:rPr>
        <w:t>keep all information and supporting documents related to the operation in accordance with Article 140 of Regulation (EU) No 1303/2013 [CPR].</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hAnsi="Verdana" w:cs="Arial"/>
          <w:color w:val="000000"/>
          <w:sz w:val="22"/>
          <w:szCs w:val="22"/>
        </w:rPr>
        <w:t>The managing authority shall make sure that the lead partners are aware that these obligations have to be fulfilled by the project partners.</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The subsidy contracts make reference to the control systems set up by the EU-MS, Norway and Switzerland in accordance with Article 23 (4) of Regulation (EU) 1299/2013 [ETC].</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The monitoring committee may ask the managing authority to exercise its right to terminate the Subsidy Contract should the project not comply with the expected deliveries in a due time. The managing authority reserves the right to terminate the Subsidy Contract without the approval of the monitoring committee should the lead partner violate the Subsidy Contract provisions. In this case the MS and PS involved in the project shall be consulted prior to such a decision and the monitoring committee shall be informed without delay.</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hAnsi="Verdana" w:cs="Arial"/>
          <w:color w:val="000000"/>
          <w:sz w:val="22"/>
          <w:szCs w:val="22"/>
        </w:rPr>
        <w:t>The MA has the right to refuse a Lead Partner or Project Partner from those countries for which the AA has issued a negative qualified opinion on their management and control system description set up according to Article 62 of Regulation (EU) No 1303/2013 [CPR].</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p>
    <w:p w:rsidR="0099587B" w:rsidRPr="00C4514D" w:rsidRDefault="0099587B" w:rsidP="008B00B7">
      <w:pPr>
        <w:autoSpaceDE w:val="0"/>
        <w:autoSpaceDN w:val="0"/>
        <w:adjustRightInd w:val="0"/>
        <w:spacing w:after="180" w:line="276" w:lineRule="auto"/>
        <w:jc w:val="both"/>
        <w:rPr>
          <w:rFonts w:ascii="Verdana" w:eastAsia="Cambria" w:hAnsi="Verdana" w:cs="Arial"/>
          <w:b/>
          <w:i/>
          <w:iCs/>
          <w:sz w:val="22"/>
          <w:szCs w:val="22"/>
          <w:lang w:eastAsia="en-US"/>
        </w:rPr>
      </w:pPr>
      <w:r w:rsidRPr="00C4514D">
        <w:rPr>
          <w:rFonts w:ascii="Verdana" w:eastAsia="Cambria" w:hAnsi="Verdana" w:cs="Arial"/>
          <w:b/>
          <w:i/>
          <w:iCs/>
          <w:sz w:val="22"/>
          <w:szCs w:val="22"/>
          <w:lang w:eastAsia="en-US"/>
        </w:rPr>
        <w:t>Financial control of beneficiaries</w:t>
      </w:r>
    </w:p>
    <w:p w:rsidR="0099587B" w:rsidRPr="00C4514D" w:rsidRDefault="0099587B" w:rsidP="008B00B7">
      <w:pPr>
        <w:tabs>
          <w:tab w:val="left" w:pos="360"/>
        </w:tabs>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According to Article 23 (4) of Regulation (EU) No [1299]/2013 [ETC] and considering that the managing authority cannot carry out verifications under Article 125 (4) (a) of Regulation (EU) 1303/2013 [CPR] throughout the whole programme area, each EU-Member State (MS) and Partner State (PS) designates the bodies responsible for carrying out such verifications in relation to beneficiaries on its territory (‘controller(s)’). The body responsible for the control system set up in each EU-MS and PS is included in the agreement that is submitted as </w:t>
      </w:r>
      <w:r w:rsidR="00364438" w:rsidRPr="00C4514D">
        <w:rPr>
          <w:rFonts w:ascii="Verdana" w:eastAsia="MS Mincho" w:hAnsi="Verdana" w:cs="Arial"/>
          <w:sz w:val="22"/>
          <w:szCs w:val="22"/>
          <w:lang w:eastAsia="ja-JP"/>
        </w:rPr>
        <w:t>annex 2</w:t>
      </w:r>
      <w:r w:rsidRPr="00C4514D">
        <w:rPr>
          <w:rFonts w:ascii="Verdana" w:eastAsia="MS Mincho" w:hAnsi="Verdana" w:cs="Arial"/>
          <w:sz w:val="22"/>
          <w:szCs w:val="22"/>
          <w:lang w:eastAsia="ja-JP"/>
        </w:rPr>
        <w:t xml:space="preserve"> to the cooperation programme.</w:t>
      </w:r>
    </w:p>
    <w:p w:rsidR="0099587B" w:rsidRPr="00C4514D" w:rsidRDefault="0099587B" w:rsidP="008B00B7">
      <w:pPr>
        <w:tabs>
          <w:tab w:val="left" w:pos="360"/>
        </w:tabs>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Each EU-MS and PS submits also to the managing authority a detailed description of the control system set up using the form provided by the managing authority/joint secretariat. The full description will be included in the description of the management and control system in accordance with Article 72 of Regulation (EC) 1303/2013 [CPR]. When assessing this document the audit authority is authorised to request complementary information from the Member/Partner State. The EU-MS and PS shall without delay inform the managing authority of any changes of responsible body and the control system set up. </w:t>
      </w:r>
    </w:p>
    <w:p w:rsidR="0099587B" w:rsidRPr="00C4514D" w:rsidRDefault="0099587B" w:rsidP="008B00B7">
      <w:pPr>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According to Article 23 of Regulation (EU) 1299/2013 [ETC] Member/Partner States shall ensure that the expenditure of a beneficiary can be verified within a period of three months of the submission of the documents by the beneficiary concerned.  Each EU-MS and PS will do its utmost to ensure that the expenditure is verified and confirmed by the controllers within a period of two months after the end of each reporting period so that the lead partner is in a position to submit the progress report to the managing authority/joint secretariat at the date set in the subsidy contract and so that the managing authority/certifying authority can declare regularly expenditure to the EC. </w:t>
      </w:r>
    </w:p>
    <w:p w:rsidR="0099587B" w:rsidRPr="00C4514D" w:rsidRDefault="0099587B" w:rsidP="008B00B7">
      <w:pPr>
        <w:tabs>
          <w:tab w:val="left" w:pos="360"/>
        </w:tabs>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The cost for these verifications will be either carried by the EU-MS or PS or by the project partners. In the latter case, these costs can in principle be considered eligible for an ERDF-reimbursement and thus reported within the project. </w:t>
      </w:r>
      <w:r w:rsidRPr="00C4514D">
        <w:rPr>
          <w:rFonts w:ascii="Verdana" w:hAnsi="Verdana" w:cs="Arial"/>
          <w:color w:val="000000"/>
          <w:sz w:val="22"/>
          <w:szCs w:val="22"/>
        </w:rPr>
        <w:t>If the control cost is borne by the beneficiary and to be reported as eligible project cost, it shall be calculated according to the standard procedures such as a service contract. The cost is eligible provided that it is borne within the project eligibility period.</w:t>
      </w:r>
      <w:r w:rsidRPr="00C4514D">
        <w:rPr>
          <w:rFonts w:ascii="Verdana" w:eastAsia="MS Mincho" w:hAnsi="Verdana" w:cs="Arial"/>
          <w:sz w:val="22"/>
          <w:szCs w:val="22"/>
          <w:lang w:eastAsia="ja-JP"/>
        </w:rPr>
        <w:t xml:space="preserve">   </w:t>
      </w:r>
    </w:p>
    <w:p w:rsidR="0099587B" w:rsidRPr="00C4514D" w:rsidRDefault="0099587B" w:rsidP="008B00B7">
      <w:pPr>
        <w:tabs>
          <w:tab w:val="left" w:pos="360"/>
        </w:tabs>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In order to ensure coherence among controllers from all countries participating in the programme, standard documents shall be decided by the monitoring committee and used as minimum requirements across all EU-MS and PS.  </w:t>
      </w:r>
    </w:p>
    <w:p w:rsidR="0099587B" w:rsidRPr="00C4514D" w:rsidRDefault="0099587B" w:rsidP="008B00B7">
      <w:pPr>
        <w:tabs>
          <w:tab w:val="left" w:pos="360"/>
        </w:tabs>
        <w:autoSpaceDE w:val="0"/>
        <w:autoSpaceDN w:val="0"/>
        <w:adjustRightInd w:val="0"/>
        <w:spacing w:after="180" w:line="276" w:lineRule="auto"/>
        <w:jc w:val="both"/>
        <w:rPr>
          <w:rFonts w:ascii="Verdana" w:eastAsia="MS Mincho" w:hAnsi="Verdana" w:cs="Arial"/>
          <w:color w:val="000000"/>
          <w:sz w:val="22"/>
          <w:szCs w:val="22"/>
          <w:lang w:eastAsia="ja-JP"/>
        </w:rPr>
      </w:pPr>
      <w:r w:rsidRPr="00C4514D">
        <w:rPr>
          <w:rFonts w:ascii="Verdana" w:eastAsia="MS Mincho" w:hAnsi="Verdana" w:cs="Arial"/>
          <w:color w:val="000000"/>
          <w:sz w:val="22"/>
          <w:szCs w:val="22"/>
          <w:lang w:eastAsia="ja-JP"/>
        </w:rPr>
        <w:t xml:space="preserve">With regard to technical assistance payments, the managing authority ensures that the expenditure is certified in line with the control set up by France. </w:t>
      </w:r>
    </w:p>
    <w:p w:rsidR="0099587B" w:rsidRPr="00C4514D" w:rsidRDefault="0099587B" w:rsidP="008B00B7">
      <w:pPr>
        <w:autoSpaceDE w:val="0"/>
        <w:autoSpaceDN w:val="0"/>
        <w:adjustRightInd w:val="0"/>
        <w:spacing w:after="180" w:line="276" w:lineRule="auto"/>
        <w:jc w:val="both"/>
        <w:rPr>
          <w:rFonts w:ascii="Verdana" w:eastAsia="MS Mincho" w:hAnsi="Verdana" w:cs="Arial"/>
          <w:color w:val="000000"/>
          <w:sz w:val="22"/>
          <w:szCs w:val="22"/>
          <w:lang w:eastAsia="ja-JP"/>
        </w:rPr>
      </w:pPr>
      <w:r w:rsidRPr="00C4514D">
        <w:rPr>
          <w:rFonts w:ascii="Verdana" w:eastAsia="MS Mincho" w:hAnsi="Verdana" w:cs="Arial"/>
          <w:color w:val="000000"/>
          <w:sz w:val="22"/>
          <w:szCs w:val="22"/>
          <w:lang w:eastAsia="ja-JP"/>
        </w:rPr>
        <w:t>The result of any verification of the proper functioning of the first level control system carried out by the EU-MS or PS shall be communicated to the managing authority/joint secretariat for coordination purposes (and follow-up action if necessary). The managing authority/joint secretariat will also inform the EU-MS and PS of the results and follow-up of any checks carried out by other programme bodies or the EC or European Court of Auditors.</w:t>
      </w:r>
    </w:p>
    <w:p w:rsidR="0099587B" w:rsidRPr="00C4514D" w:rsidRDefault="0099587B" w:rsidP="008B00B7">
      <w:pPr>
        <w:autoSpaceDE w:val="0"/>
        <w:autoSpaceDN w:val="0"/>
        <w:adjustRightInd w:val="0"/>
        <w:spacing w:after="180" w:line="276" w:lineRule="auto"/>
        <w:jc w:val="both"/>
        <w:rPr>
          <w:rFonts w:ascii="Verdana" w:eastAsia="MS Mincho" w:hAnsi="Verdana" w:cs="Arial"/>
          <w:b/>
          <w:bCs/>
          <w:sz w:val="22"/>
          <w:szCs w:val="22"/>
          <w:lang w:eastAsia="ja-JP"/>
        </w:rPr>
      </w:pPr>
    </w:p>
    <w:p w:rsidR="0099587B" w:rsidRPr="00C4514D" w:rsidRDefault="0099587B" w:rsidP="008B00B7">
      <w:pPr>
        <w:autoSpaceDE w:val="0"/>
        <w:autoSpaceDN w:val="0"/>
        <w:adjustRightInd w:val="0"/>
        <w:spacing w:after="180" w:line="276" w:lineRule="auto"/>
        <w:jc w:val="both"/>
        <w:rPr>
          <w:rFonts w:ascii="Verdana" w:eastAsia="Cambria" w:hAnsi="Verdana" w:cs="Arial"/>
          <w:b/>
          <w:i/>
          <w:iCs/>
          <w:sz w:val="22"/>
          <w:szCs w:val="22"/>
          <w:lang w:eastAsia="en-US"/>
        </w:rPr>
      </w:pPr>
      <w:r w:rsidRPr="00C4514D">
        <w:rPr>
          <w:rFonts w:ascii="Verdana" w:eastAsia="Cambria" w:hAnsi="Verdana" w:cs="Arial"/>
          <w:b/>
          <w:i/>
          <w:iCs/>
          <w:sz w:val="22"/>
          <w:szCs w:val="22"/>
          <w:lang w:eastAsia="en-US"/>
        </w:rPr>
        <w:t>Project monitoring</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The managing authority/joint secretariat shall monitor the activity and financial progress of projects. For this purpose, three main types of information need to be considered:</w:t>
      </w:r>
    </w:p>
    <w:p w:rsidR="0099587B" w:rsidRPr="00C4514D" w:rsidRDefault="0099587B" w:rsidP="00D67ECF">
      <w:pPr>
        <w:numPr>
          <w:ilvl w:val="0"/>
          <w:numId w:val="7"/>
        </w:numPr>
        <w:autoSpaceDE w:val="0"/>
        <w:autoSpaceDN w:val="0"/>
        <w:adjustRightInd w:val="0"/>
        <w:spacing w:after="180" w:line="276" w:lineRule="auto"/>
        <w:ind w:left="714" w:hanging="357"/>
        <w:jc w:val="both"/>
        <w:rPr>
          <w:rFonts w:ascii="Verdana" w:eastAsia="MS Mincho" w:hAnsi="Verdana" w:cs="Arial"/>
          <w:sz w:val="22"/>
          <w:szCs w:val="22"/>
          <w:lang w:eastAsia="ja-JP"/>
        </w:rPr>
      </w:pPr>
      <w:r w:rsidRPr="00C4514D">
        <w:rPr>
          <w:rFonts w:ascii="Verdana" w:eastAsia="MS Mincho" w:hAnsi="Verdana" w:cs="Arial"/>
          <w:sz w:val="22"/>
          <w:szCs w:val="22"/>
          <w:lang w:eastAsia="ja-JP"/>
        </w:rPr>
        <w:t>the use of the ERDF subsidy for the purpose mentioned in the subsidy contract and the approved application;</w:t>
      </w:r>
    </w:p>
    <w:p w:rsidR="0099587B" w:rsidRPr="00C4514D" w:rsidRDefault="0099587B" w:rsidP="00D67ECF">
      <w:pPr>
        <w:numPr>
          <w:ilvl w:val="0"/>
          <w:numId w:val="7"/>
        </w:numPr>
        <w:autoSpaceDE w:val="0"/>
        <w:autoSpaceDN w:val="0"/>
        <w:adjustRightInd w:val="0"/>
        <w:spacing w:after="180" w:line="276" w:lineRule="auto"/>
        <w:ind w:left="714" w:hanging="357"/>
        <w:jc w:val="both"/>
        <w:rPr>
          <w:rFonts w:ascii="Verdana" w:eastAsia="MS Mincho" w:hAnsi="Verdana" w:cs="Arial"/>
          <w:sz w:val="22"/>
          <w:szCs w:val="22"/>
          <w:lang w:eastAsia="ja-JP"/>
        </w:rPr>
      </w:pPr>
      <w:r w:rsidRPr="00C4514D">
        <w:rPr>
          <w:rFonts w:ascii="Verdana" w:eastAsia="MS Mincho" w:hAnsi="Verdana" w:cs="Arial"/>
          <w:sz w:val="22"/>
          <w:szCs w:val="22"/>
          <w:lang w:eastAsia="ja-JP"/>
        </w:rPr>
        <w:t>the progress made in implementing the project in compliance with the subsidy contract and the approved application;</w:t>
      </w:r>
    </w:p>
    <w:p w:rsidR="0099587B" w:rsidRPr="00C4514D" w:rsidRDefault="0099587B" w:rsidP="00D67ECF">
      <w:pPr>
        <w:numPr>
          <w:ilvl w:val="0"/>
          <w:numId w:val="7"/>
        </w:numPr>
        <w:autoSpaceDE w:val="0"/>
        <w:autoSpaceDN w:val="0"/>
        <w:adjustRightInd w:val="0"/>
        <w:spacing w:after="180" w:line="276" w:lineRule="auto"/>
        <w:ind w:left="714" w:hanging="357"/>
        <w:jc w:val="both"/>
        <w:rPr>
          <w:rFonts w:ascii="Verdana" w:eastAsia="MS Mincho" w:hAnsi="Verdana" w:cs="Arial"/>
          <w:sz w:val="22"/>
          <w:szCs w:val="22"/>
          <w:lang w:eastAsia="ja-JP"/>
        </w:rPr>
      </w:pPr>
      <w:r w:rsidRPr="00C4514D">
        <w:rPr>
          <w:rFonts w:ascii="Verdana" w:eastAsia="MS Mincho" w:hAnsi="Verdana" w:cs="Arial"/>
          <w:sz w:val="22"/>
          <w:szCs w:val="22"/>
          <w:lang w:eastAsia="ja-JP"/>
        </w:rPr>
        <w:t>the confirmation of expenditure by the Lead Partner controller in compliance with the system set up in each state according to Article 23 (4) of Regulation (EU) 1299/2013 [ETC].</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The managing authority/joint secretariat shall assess the reports and monitor the proper implementation of the approved project referred to in the subsidy contract according to the procedure laid down in the description of the management and control system.</w:t>
      </w:r>
    </w:p>
    <w:p w:rsidR="0099587B" w:rsidRPr="00C4514D" w:rsidRDefault="0099587B" w:rsidP="008B00B7">
      <w:pPr>
        <w:autoSpaceDE w:val="0"/>
        <w:autoSpaceDN w:val="0"/>
        <w:adjustRightInd w:val="0"/>
        <w:spacing w:after="180" w:line="276" w:lineRule="auto"/>
        <w:ind w:left="180"/>
        <w:jc w:val="both"/>
        <w:rPr>
          <w:rFonts w:ascii="Verdana" w:eastAsia="MS Mincho" w:hAnsi="Verdana" w:cs="Arial"/>
          <w:b/>
          <w:bCs/>
          <w:sz w:val="22"/>
          <w:szCs w:val="22"/>
          <w:lang w:eastAsia="ja-JP"/>
        </w:rPr>
      </w:pPr>
    </w:p>
    <w:p w:rsidR="0099587B" w:rsidRPr="00C4514D" w:rsidRDefault="0099587B" w:rsidP="008B00B7">
      <w:pPr>
        <w:shd w:val="clear" w:color="auto" w:fill="FFFFFF"/>
        <w:autoSpaceDE w:val="0"/>
        <w:autoSpaceDN w:val="0"/>
        <w:adjustRightInd w:val="0"/>
        <w:spacing w:after="180" w:line="276" w:lineRule="auto"/>
        <w:jc w:val="both"/>
        <w:rPr>
          <w:rFonts w:ascii="Verdana" w:eastAsia="Cambria" w:hAnsi="Verdana" w:cs="Arial"/>
          <w:b/>
          <w:i/>
          <w:iCs/>
          <w:sz w:val="22"/>
          <w:szCs w:val="22"/>
          <w:lang w:eastAsia="en-US"/>
        </w:rPr>
      </w:pPr>
      <w:r w:rsidRPr="00C4514D">
        <w:rPr>
          <w:rFonts w:ascii="Verdana" w:eastAsia="Cambria" w:hAnsi="Verdana" w:cs="Arial"/>
          <w:b/>
          <w:i/>
          <w:iCs/>
          <w:sz w:val="22"/>
          <w:szCs w:val="22"/>
          <w:lang w:eastAsia="en-US"/>
        </w:rPr>
        <w:t>Programme monitoring</w:t>
      </w:r>
    </w:p>
    <w:p w:rsidR="0099587B" w:rsidRPr="00C4514D" w:rsidRDefault="0099587B" w:rsidP="008B00B7">
      <w:pPr>
        <w:shd w:val="clear" w:color="auto" w:fill="FFFFFF"/>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The monitoring of this programme will provide information on the implementation at any given time. It will cover financial issues and achieved results considering the targets fixed for the different milestones in the performance framework. </w:t>
      </w:r>
    </w:p>
    <w:p w:rsidR="0099587B" w:rsidRPr="00C4514D" w:rsidRDefault="0099587B" w:rsidP="008B00B7">
      <w:pPr>
        <w:shd w:val="clear" w:color="auto" w:fill="FFFFFF"/>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Monitoring will encourage high quality, effective implementation by monitoring the progress of the projects against the goals and intended results of the programme. Monitoring will be mainly based on regular reports from the projects and in a more general perspective on the activities carried out at programme l</w:t>
      </w:r>
      <w:r w:rsidR="008D5F4A">
        <w:rPr>
          <w:rFonts w:ascii="Verdana" w:eastAsia="MS Mincho" w:hAnsi="Verdana" w:cs="Arial"/>
          <w:sz w:val="22"/>
          <w:szCs w:val="22"/>
          <w:lang w:eastAsia="ja-JP"/>
        </w:rPr>
        <w:t>e</w:t>
      </w:r>
      <w:r w:rsidRPr="00C4514D">
        <w:rPr>
          <w:rFonts w:ascii="Verdana" w:eastAsia="MS Mincho" w:hAnsi="Verdana" w:cs="Arial"/>
          <w:sz w:val="22"/>
          <w:szCs w:val="22"/>
          <w:lang w:eastAsia="ja-JP"/>
        </w:rPr>
        <w:t>vel.</w:t>
      </w:r>
    </w:p>
    <w:p w:rsidR="0099587B" w:rsidRPr="00C4514D" w:rsidRDefault="0099587B" w:rsidP="008B00B7">
      <w:pPr>
        <w:shd w:val="clear" w:color="auto" w:fill="FFFFFF"/>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The Programme specifies a set of indicators for monitoring and evaluating its progress. The programme specific result and output indicators are presented in Section 2 of this document. They relate directly to the different specific objectives of the programme. In particular, results indicators are the cornerstone of the performance analysis of the programme. They relate to parts of the intended results that can be captured. Those programme specific indicators have been designed in line with certain strict requirements (applicable to all Cohesion policy programmes). In addition to this set of result and output indicators, the URBACT III programme may define complementary indicators that will enable the programme bodies to effectively monitor the progress and quality of programme and project implementation.</w:t>
      </w:r>
    </w:p>
    <w:p w:rsidR="0099587B" w:rsidRPr="00C4514D" w:rsidRDefault="0099587B" w:rsidP="008B00B7">
      <w:pPr>
        <w:shd w:val="clear" w:color="auto" w:fill="FFFFFF"/>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Projects will be obliged to report regularly on the effects and tangible results achieved by the cooperation actions developed by the partnerships. They will be required in these reports to provide strong evidence of the changes that derive from their actions.</w:t>
      </w:r>
      <w:r w:rsidR="003D5225" w:rsidRPr="00C4514D">
        <w:rPr>
          <w:rFonts w:ascii="Verdana" w:eastAsia="MS Mincho" w:hAnsi="Verdana" w:cs="Arial"/>
          <w:sz w:val="22"/>
          <w:szCs w:val="22"/>
          <w:lang w:eastAsia="ja-JP"/>
        </w:rPr>
        <w:t xml:space="preserve"> </w:t>
      </w:r>
      <w:r w:rsidR="00DF411C" w:rsidRPr="00C4514D">
        <w:rPr>
          <w:rFonts w:ascii="Verdana" w:eastAsia="MS Mincho" w:hAnsi="Verdana" w:cs="Arial"/>
          <w:sz w:val="22"/>
          <w:szCs w:val="22"/>
          <w:lang w:eastAsia="ja-JP"/>
        </w:rPr>
        <w:t>The monitoring of outcomes and indic</w:t>
      </w:r>
      <w:r w:rsidR="003D5225" w:rsidRPr="00C4514D">
        <w:rPr>
          <w:rFonts w:ascii="Verdana" w:eastAsia="MS Mincho" w:hAnsi="Verdana" w:cs="Arial"/>
          <w:sz w:val="22"/>
          <w:szCs w:val="22"/>
          <w:lang w:eastAsia="ja-JP"/>
        </w:rPr>
        <w:t>a</w:t>
      </w:r>
      <w:r w:rsidR="00DF411C" w:rsidRPr="00C4514D">
        <w:rPr>
          <w:rFonts w:ascii="Verdana" w:eastAsia="MS Mincho" w:hAnsi="Verdana" w:cs="Arial"/>
          <w:sz w:val="22"/>
          <w:szCs w:val="22"/>
          <w:lang w:eastAsia="ja-JP"/>
        </w:rPr>
        <w:t xml:space="preserve">tors is essential to measure how the exchange activity can impact on sustainable urban development policies as well as assessing the benefits of </w:t>
      </w:r>
      <w:r w:rsidR="00683C9B" w:rsidRPr="00C4514D">
        <w:rPr>
          <w:rFonts w:ascii="Verdana" w:eastAsia="MS Mincho" w:hAnsi="Verdana" w:cs="Arial"/>
          <w:sz w:val="22"/>
          <w:szCs w:val="22"/>
          <w:lang w:eastAsia="ja-JP"/>
        </w:rPr>
        <w:t>transnational exchange between cities.</w:t>
      </w:r>
      <w:r w:rsidR="003D5225" w:rsidRPr="00C4514D">
        <w:rPr>
          <w:rFonts w:ascii="Verdana" w:eastAsia="MS Mincho" w:hAnsi="Verdana" w:cs="Arial"/>
          <w:sz w:val="22"/>
          <w:szCs w:val="22"/>
          <w:lang w:eastAsia="ja-JP"/>
        </w:rPr>
        <w:t xml:space="preserve"> </w:t>
      </w:r>
      <w:r w:rsidR="00683C9B" w:rsidRPr="00C4514D">
        <w:rPr>
          <w:rFonts w:ascii="Verdana" w:eastAsia="MS Mincho" w:hAnsi="Verdana" w:cs="Arial"/>
          <w:sz w:val="22"/>
          <w:szCs w:val="22"/>
          <w:lang w:eastAsia="ja-JP"/>
        </w:rPr>
        <w:t>Suitable monitoring tools will be set up to ensure that the real added value can be monitored and reported at programme level.</w:t>
      </w:r>
    </w:p>
    <w:p w:rsidR="0099587B" w:rsidRPr="00C4514D" w:rsidRDefault="0099587B" w:rsidP="008B00B7">
      <w:pPr>
        <w:shd w:val="clear" w:color="auto" w:fill="FFFFFF"/>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The joint secretariat will collect and compile the data stemming from these reports in order to allow for conclusions on the programme level. The managing authority will use this documentation – together with additional information on the financial implementation – to draft the annual and final reports and submit them to the monitoring committee. </w:t>
      </w:r>
    </w:p>
    <w:p w:rsidR="0099587B" w:rsidRPr="00C4514D" w:rsidRDefault="0099587B" w:rsidP="008B00B7">
      <w:pPr>
        <w:autoSpaceDE w:val="0"/>
        <w:autoSpaceDN w:val="0"/>
        <w:adjustRightInd w:val="0"/>
        <w:spacing w:after="180" w:line="276" w:lineRule="auto"/>
        <w:rPr>
          <w:rFonts w:ascii="Verdana" w:eastAsia="MS Mincho" w:hAnsi="Verdana" w:cs="Arial"/>
          <w:sz w:val="22"/>
          <w:szCs w:val="22"/>
          <w:lang w:eastAsia="ja-JP"/>
        </w:rPr>
      </w:pPr>
    </w:p>
    <w:p w:rsidR="0099587B" w:rsidRPr="00C4514D" w:rsidRDefault="0099587B" w:rsidP="008B00B7">
      <w:pPr>
        <w:autoSpaceDE w:val="0"/>
        <w:autoSpaceDN w:val="0"/>
        <w:adjustRightInd w:val="0"/>
        <w:spacing w:after="180" w:line="276" w:lineRule="auto"/>
        <w:jc w:val="both"/>
        <w:rPr>
          <w:rFonts w:ascii="Verdana" w:eastAsia="Cambria" w:hAnsi="Verdana" w:cs="Arial"/>
          <w:b/>
          <w:i/>
          <w:iCs/>
          <w:sz w:val="22"/>
          <w:szCs w:val="22"/>
          <w:lang w:eastAsia="en-US"/>
        </w:rPr>
      </w:pPr>
      <w:r w:rsidRPr="00C4514D">
        <w:rPr>
          <w:rFonts w:ascii="Verdana" w:eastAsia="Cambria" w:hAnsi="Verdana" w:cs="Arial"/>
          <w:b/>
          <w:i/>
          <w:iCs/>
          <w:sz w:val="22"/>
          <w:szCs w:val="22"/>
          <w:lang w:eastAsia="en-US"/>
        </w:rPr>
        <w:t>Annual and final implementation reports and closure of the programme</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The managing authority will, in accordance with Article 14 of Regulation (EU) 1299/2013 [ETC], submit to the Commission implementation reports in accordance with the requirements of Article 50 of Regulation (EU) 1303/2013 [CPR]. They will be approved by the monitoring committee before they are sent out to the Commission. </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hAnsi="Verdana" w:cs="Arial"/>
          <w:color w:val="000000"/>
          <w:sz w:val="22"/>
          <w:szCs w:val="22"/>
        </w:rPr>
        <w:t>The closure of the programme will be carried out in compliance with Article 141 of Regulation (EU) No 1303/2013 [General] by the competent programme authorities of the 2014-2020 programme.</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p>
    <w:p w:rsidR="008D5F4A" w:rsidRDefault="008D5F4A">
      <w:pPr>
        <w:rPr>
          <w:rFonts w:ascii="Verdana" w:eastAsia="Cambria" w:hAnsi="Verdana" w:cs="Arial"/>
          <w:b/>
          <w:i/>
          <w:iCs/>
          <w:sz w:val="22"/>
          <w:szCs w:val="22"/>
          <w:lang w:eastAsia="en-US"/>
        </w:rPr>
      </w:pPr>
      <w:r>
        <w:rPr>
          <w:rFonts w:ascii="Verdana" w:eastAsia="Cambria" w:hAnsi="Verdana" w:cs="Arial"/>
          <w:b/>
          <w:i/>
          <w:iCs/>
          <w:sz w:val="22"/>
          <w:szCs w:val="22"/>
          <w:lang w:eastAsia="en-US"/>
        </w:rPr>
        <w:br w:type="page"/>
      </w:r>
    </w:p>
    <w:p w:rsidR="0099587B" w:rsidRPr="00C4514D" w:rsidRDefault="0099587B" w:rsidP="008B00B7">
      <w:pPr>
        <w:shd w:val="clear" w:color="auto" w:fill="FFFFFF"/>
        <w:autoSpaceDE w:val="0"/>
        <w:autoSpaceDN w:val="0"/>
        <w:adjustRightInd w:val="0"/>
        <w:spacing w:after="180" w:line="276" w:lineRule="auto"/>
        <w:jc w:val="both"/>
        <w:rPr>
          <w:rFonts w:ascii="Verdana" w:eastAsia="Cambria" w:hAnsi="Verdana" w:cs="Arial"/>
          <w:b/>
          <w:i/>
          <w:iCs/>
          <w:sz w:val="22"/>
          <w:szCs w:val="22"/>
          <w:lang w:eastAsia="en-US"/>
        </w:rPr>
      </w:pPr>
      <w:r w:rsidRPr="00C4514D">
        <w:rPr>
          <w:rFonts w:ascii="Verdana" w:eastAsia="Cambria" w:hAnsi="Verdana" w:cs="Arial"/>
          <w:b/>
          <w:i/>
          <w:iCs/>
          <w:sz w:val="22"/>
          <w:szCs w:val="22"/>
          <w:lang w:eastAsia="en-US"/>
        </w:rPr>
        <w:t>Evaluation</w:t>
      </w:r>
    </w:p>
    <w:p w:rsidR="000265F1" w:rsidRPr="00C4514D" w:rsidRDefault="000265F1" w:rsidP="008B00B7">
      <w:pPr>
        <w:shd w:val="clear" w:color="auto" w:fill="FFFFFF"/>
        <w:autoSpaceDE w:val="0"/>
        <w:autoSpaceDN w:val="0"/>
        <w:adjustRightInd w:val="0"/>
        <w:spacing w:after="180" w:line="276" w:lineRule="auto"/>
        <w:jc w:val="both"/>
        <w:rPr>
          <w:rFonts w:ascii="Verdana" w:eastAsia="MS Mincho" w:hAnsi="Verdana" w:cs="Arial"/>
          <w:sz w:val="22"/>
          <w:szCs w:val="22"/>
          <w:lang w:eastAsia="ja-JP"/>
        </w:rPr>
      </w:pPr>
    </w:p>
    <w:p w:rsidR="0099587B" w:rsidRPr="00C4514D" w:rsidRDefault="0099587B" w:rsidP="008B00B7">
      <w:pPr>
        <w:shd w:val="clear" w:color="auto" w:fill="FFFFFF"/>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The programme has been subject to an ex-ante evaluation of independent evaluators with the aim of improving the overall quality of the programme and to optimise the allocation of budgetary resources and the quantification of target values in the performance framework. The recommendations of this evaluation have been taken into account during the drafting of this programme, as described in the </w:t>
      </w:r>
      <w:r w:rsidR="004F5F2B" w:rsidRPr="00C4514D">
        <w:rPr>
          <w:rFonts w:ascii="Verdana" w:eastAsia="MS Mincho" w:hAnsi="Verdana" w:cs="Arial"/>
          <w:sz w:val="22"/>
          <w:szCs w:val="22"/>
          <w:lang w:eastAsia="ja-JP"/>
        </w:rPr>
        <w:t>ex-ante</w:t>
      </w:r>
      <w:r w:rsidRPr="00C4514D">
        <w:rPr>
          <w:rFonts w:ascii="Verdana" w:eastAsia="MS Mincho" w:hAnsi="Verdana" w:cs="Arial"/>
          <w:sz w:val="22"/>
          <w:szCs w:val="22"/>
          <w:lang w:eastAsia="ja-JP"/>
        </w:rPr>
        <w:t xml:space="preserve"> report in annex 1.</w:t>
      </w:r>
    </w:p>
    <w:p w:rsidR="0099587B" w:rsidRPr="00C4514D" w:rsidRDefault="0099587B" w:rsidP="008B00B7">
      <w:pPr>
        <w:shd w:val="clear" w:color="auto" w:fill="FFFFFF"/>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In accordance with Articles </w:t>
      </w:r>
      <w:r w:rsidR="00AA18E4" w:rsidRPr="00C4514D">
        <w:rPr>
          <w:rFonts w:ascii="Verdana" w:eastAsia="MS Mincho" w:hAnsi="Verdana" w:cs="Arial"/>
          <w:sz w:val="22"/>
          <w:szCs w:val="22"/>
          <w:lang w:eastAsia="ja-JP"/>
        </w:rPr>
        <w:t>56</w:t>
      </w:r>
      <w:r w:rsidRPr="00C4514D">
        <w:rPr>
          <w:rFonts w:ascii="Verdana" w:eastAsia="MS Mincho" w:hAnsi="Verdana" w:cs="Arial"/>
          <w:sz w:val="22"/>
          <w:szCs w:val="22"/>
          <w:lang w:eastAsia="ja-JP"/>
        </w:rPr>
        <w:t xml:space="preserve"> and 114 of the Regulation (EU) 1303/2013 [CPR], the managing authority will draw up an evaluation plan for the programme. The evaluation plan shall be submitted to the monitoring committee no later than one year after the adoption of the OP.</w:t>
      </w:r>
    </w:p>
    <w:p w:rsidR="0099587B" w:rsidRPr="00C4514D" w:rsidRDefault="0099587B" w:rsidP="008B00B7">
      <w:pPr>
        <w:shd w:val="clear" w:color="auto" w:fill="FFFFFF"/>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One or several evaluations will be carried out to assess effectiveness, efficiency and impact of the programme on the basis of the evaluation plan. All evaluations will be examined by the monitoring committee and sent to the Commission. </w:t>
      </w:r>
      <w:r w:rsidR="00CE6A52" w:rsidRPr="00C4514D">
        <w:rPr>
          <w:rFonts w:ascii="Verdana" w:eastAsia="MS Mincho" w:hAnsi="Verdana" w:cs="Arial"/>
          <w:sz w:val="22"/>
          <w:szCs w:val="22"/>
          <w:lang w:eastAsia="ja-JP"/>
        </w:rPr>
        <w:t xml:space="preserve"> Such evaluations will provide an opportunity to assess the impact of the programme activity at EU level.</w:t>
      </w:r>
    </w:p>
    <w:p w:rsidR="0099587B" w:rsidRPr="00C4514D" w:rsidRDefault="0099587B" w:rsidP="008B00B7">
      <w:pPr>
        <w:shd w:val="clear" w:color="auto" w:fill="FFFFFF"/>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By 31 December 2022, the managing authority will submit to the Commission a report summarising the findings of evaluations carried out during the programming period, including an assessment of the main outputs and results of the programme.</w:t>
      </w:r>
    </w:p>
    <w:p w:rsidR="0099587B" w:rsidRPr="00C4514D" w:rsidRDefault="0099587B" w:rsidP="008B00B7">
      <w:pPr>
        <w:autoSpaceDE w:val="0"/>
        <w:autoSpaceDN w:val="0"/>
        <w:adjustRightInd w:val="0"/>
        <w:spacing w:after="180" w:line="276" w:lineRule="auto"/>
        <w:rPr>
          <w:rFonts w:ascii="Verdana" w:eastAsia="Cambria" w:hAnsi="Verdana" w:cs="Arial"/>
          <w:i/>
          <w:iCs/>
          <w:sz w:val="22"/>
          <w:szCs w:val="22"/>
          <w:u w:val="single"/>
          <w:lang w:eastAsia="en-US"/>
        </w:rPr>
      </w:pPr>
    </w:p>
    <w:p w:rsidR="0099587B" w:rsidRPr="00C4514D" w:rsidRDefault="0099587B" w:rsidP="008B00B7">
      <w:pPr>
        <w:autoSpaceDE w:val="0"/>
        <w:autoSpaceDN w:val="0"/>
        <w:adjustRightInd w:val="0"/>
        <w:spacing w:after="180" w:line="276" w:lineRule="auto"/>
        <w:jc w:val="both"/>
        <w:rPr>
          <w:rFonts w:ascii="Verdana" w:eastAsia="Cambria" w:hAnsi="Verdana" w:cs="Arial"/>
          <w:b/>
          <w:i/>
          <w:iCs/>
          <w:sz w:val="22"/>
          <w:szCs w:val="22"/>
          <w:lang w:eastAsia="en-US"/>
        </w:rPr>
      </w:pPr>
      <w:r w:rsidRPr="00C4514D">
        <w:rPr>
          <w:rFonts w:ascii="Verdana" w:eastAsia="Cambria" w:hAnsi="Verdana" w:cs="Arial"/>
          <w:b/>
          <w:i/>
          <w:iCs/>
          <w:sz w:val="22"/>
          <w:szCs w:val="22"/>
          <w:lang w:eastAsia="en-US"/>
        </w:rPr>
        <w:t>The computerised exchange of data</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eastAsia="MS Mincho" w:hAnsi="Verdana" w:cs="Arial"/>
          <w:bCs/>
          <w:sz w:val="22"/>
          <w:szCs w:val="22"/>
          <w:lang w:eastAsia="ja-JP"/>
        </w:rPr>
        <w:t xml:space="preserve">Computerised systems for the management and monitoring of programme and project data will be set up by the managing authority no later than 31 December 2014. Online project reporting systems will also be set up in compliance with the requirements set out in Article 122(3) of Regulation (EU) 1303/2013 [CPR]. These systems will allow all exchanges of information between beneficiaries and the managing authority/certifying authority, audit authority to be carried out by means of electronic data exchange systems. </w:t>
      </w:r>
      <w:r w:rsidRPr="00C4514D">
        <w:rPr>
          <w:rFonts w:ascii="Verdana" w:hAnsi="Verdana" w:cs="Arial"/>
          <w:color w:val="000000"/>
          <w:sz w:val="22"/>
          <w:szCs w:val="22"/>
        </w:rPr>
        <w:t>The system will facilitate interoperability and allow for the beneficiaries to submit all information as referred to in Article 1</w:t>
      </w:r>
      <w:r w:rsidR="005E7D3F" w:rsidRPr="00C4514D">
        <w:rPr>
          <w:rFonts w:ascii="Verdana" w:hAnsi="Verdana" w:cs="Arial"/>
          <w:color w:val="000000"/>
          <w:sz w:val="22"/>
          <w:szCs w:val="22"/>
        </w:rPr>
        <w:t>2</w:t>
      </w:r>
      <w:r w:rsidRPr="00C4514D">
        <w:rPr>
          <w:rFonts w:ascii="Verdana" w:hAnsi="Verdana" w:cs="Arial"/>
          <w:color w:val="000000"/>
          <w:sz w:val="22"/>
          <w:szCs w:val="22"/>
        </w:rPr>
        <w:t>2 (3) only once.</w:t>
      </w:r>
    </w:p>
    <w:p w:rsidR="0099587B" w:rsidRPr="00C4514D" w:rsidRDefault="0099587B" w:rsidP="008B00B7">
      <w:pPr>
        <w:autoSpaceDE w:val="0"/>
        <w:autoSpaceDN w:val="0"/>
        <w:adjustRightInd w:val="0"/>
        <w:spacing w:after="180" w:line="276" w:lineRule="auto"/>
        <w:jc w:val="both"/>
        <w:rPr>
          <w:rFonts w:ascii="Verdana" w:eastAsia="MS Mincho" w:hAnsi="Verdana" w:cs="Arial"/>
          <w:bCs/>
          <w:sz w:val="22"/>
          <w:szCs w:val="22"/>
          <w:lang w:eastAsia="ja-JP"/>
        </w:rPr>
      </w:pPr>
      <w:r w:rsidRPr="00C4514D">
        <w:rPr>
          <w:rFonts w:ascii="Verdana" w:hAnsi="Verdana" w:cs="Arial"/>
          <w:color w:val="000000"/>
          <w:sz w:val="22"/>
          <w:szCs w:val="22"/>
        </w:rPr>
        <w:t>The development of the programme’s computerized systems will take into consideration the database and online functions developed in the context of the predecessor programme.</w:t>
      </w:r>
    </w:p>
    <w:p w:rsidR="0099587B" w:rsidRPr="00C4514D" w:rsidRDefault="0099587B" w:rsidP="008B00B7">
      <w:pPr>
        <w:autoSpaceDE w:val="0"/>
        <w:autoSpaceDN w:val="0"/>
        <w:adjustRightInd w:val="0"/>
        <w:spacing w:after="180" w:line="276" w:lineRule="auto"/>
        <w:jc w:val="both"/>
        <w:rPr>
          <w:rFonts w:ascii="Verdana" w:eastAsia="MS Mincho" w:hAnsi="Verdana" w:cs="Arial"/>
          <w:bCs/>
          <w:sz w:val="22"/>
          <w:szCs w:val="22"/>
          <w:lang w:eastAsia="ja-JP"/>
        </w:rPr>
      </w:pPr>
    </w:p>
    <w:p w:rsidR="008D5F4A" w:rsidRDefault="008D5F4A">
      <w:pPr>
        <w:rPr>
          <w:rFonts w:ascii="Verdana" w:eastAsia="Cambria" w:hAnsi="Verdana" w:cs="Arial"/>
          <w:b/>
          <w:i/>
          <w:iCs/>
          <w:sz w:val="22"/>
          <w:szCs w:val="22"/>
          <w:lang w:eastAsia="en-US"/>
        </w:rPr>
      </w:pPr>
      <w:r>
        <w:rPr>
          <w:rFonts w:ascii="Verdana" w:eastAsia="Cambria" w:hAnsi="Verdana" w:cs="Arial"/>
          <w:b/>
          <w:i/>
          <w:iCs/>
          <w:sz w:val="22"/>
          <w:szCs w:val="22"/>
          <w:lang w:eastAsia="en-US"/>
        </w:rPr>
        <w:br w:type="page"/>
      </w:r>
    </w:p>
    <w:p w:rsidR="0099587B" w:rsidRPr="00C4514D" w:rsidRDefault="0099587B" w:rsidP="008B00B7">
      <w:pPr>
        <w:autoSpaceDE w:val="0"/>
        <w:autoSpaceDN w:val="0"/>
        <w:adjustRightInd w:val="0"/>
        <w:spacing w:after="180" w:line="276" w:lineRule="auto"/>
        <w:jc w:val="both"/>
        <w:rPr>
          <w:rFonts w:ascii="Verdana" w:eastAsia="MS Mincho" w:hAnsi="Verdana" w:cs="Arial"/>
          <w:b/>
          <w:i/>
          <w:iCs/>
          <w:sz w:val="22"/>
          <w:szCs w:val="22"/>
          <w:lang w:eastAsia="ja-JP"/>
        </w:rPr>
      </w:pPr>
      <w:r w:rsidRPr="00C4514D">
        <w:rPr>
          <w:rFonts w:ascii="Verdana" w:eastAsia="Cambria" w:hAnsi="Verdana" w:cs="Arial"/>
          <w:b/>
          <w:i/>
          <w:iCs/>
          <w:sz w:val="22"/>
          <w:szCs w:val="22"/>
          <w:lang w:eastAsia="en-US"/>
        </w:rPr>
        <w:t>Mobilisation and circulation of financial flows</w:t>
      </w:r>
      <w:r w:rsidR="002174E0" w:rsidRPr="00C4514D">
        <w:rPr>
          <w:rFonts w:ascii="Verdana" w:eastAsia="Cambria" w:hAnsi="Verdana" w:cs="Arial"/>
          <w:b/>
          <w:i/>
          <w:iCs/>
          <w:sz w:val="22"/>
          <w:szCs w:val="22"/>
          <w:lang w:eastAsia="en-US"/>
        </w:rPr>
        <w:t xml:space="preserve">: </w:t>
      </w:r>
      <w:r w:rsidRPr="00C4514D">
        <w:rPr>
          <w:rFonts w:ascii="Verdana" w:eastAsia="MS Mincho" w:hAnsi="Verdana" w:cs="Arial"/>
          <w:b/>
          <w:i/>
          <w:iCs/>
          <w:sz w:val="22"/>
          <w:szCs w:val="22"/>
          <w:lang w:eastAsia="ja-JP"/>
        </w:rPr>
        <w:t>The contribution of the various partners to the financing of the programme</w:t>
      </w:r>
    </w:p>
    <w:p w:rsidR="00234456" w:rsidRPr="00C4514D" w:rsidRDefault="00234456" w:rsidP="008B00B7">
      <w:pPr>
        <w:shd w:val="clear" w:color="auto" w:fill="FFFFFF"/>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The programme is financed from the ERDF and </w:t>
      </w:r>
      <w:r w:rsidR="002174E0" w:rsidRPr="00C4514D">
        <w:rPr>
          <w:rFonts w:ascii="Verdana" w:eastAsia="MS Mincho" w:hAnsi="Verdana" w:cs="Arial"/>
          <w:sz w:val="22"/>
          <w:szCs w:val="22"/>
          <w:lang w:eastAsia="ja-JP"/>
        </w:rPr>
        <w:t xml:space="preserve">by </w:t>
      </w:r>
      <w:r w:rsidRPr="00C4514D">
        <w:rPr>
          <w:rFonts w:ascii="Verdana" w:eastAsia="MS Mincho" w:hAnsi="Verdana" w:cs="Arial"/>
          <w:sz w:val="22"/>
          <w:szCs w:val="22"/>
          <w:lang w:eastAsia="ja-JP"/>
        </w:rPr>
        <w:t>national contributions from the 28 EU-Member States and 2 partner states Switzerland and Norway. The rate of co-financing from the EU-Member States is 5.7% (ERDF co-financing rate at programme level of 77%).</w:t>
      </w:r>
      <w:r w:rsidR="002174E0" w:rsidRPr="00C4514D">
        <w:rPr>
          <w:rFonts w:ascii="Verdana" w:eastAsia="MS Mincho" w:hAnsi="Verdana" w:cs="Arial"/>
          <w:sz w:val="22"/>
          <w:szCs w:val="22"/>
          <w:lang w:eastAsia="ja-JP"/>
        </w:rPr>
        <w:t xml:space="preserve"> </w:t>
      </w:r>
      <w:r w:rsidRPr="00C4514D">
        <w:rPr>
          <w:rFonts w:ascii="Verdana" w:eastAsia="MS Mincho" w:hAnsi="Verdana" w:cs="Arial"/>
          <w:sz w:val="22"/>
          <w:szCs w:val="22"/>
          <w:lang w:eastAsia="ja-JP"/>
        </w:rPr>
        <w:t>The share of each EU-Member State results from the number of inhabitants per country in relation to the current 28 EU-MS’ overall population in 2012. The remaining budget is financed by local contributions from cities participating in the programme.  These cities shall be co-financed from ERDF as follows:</w:t>
      </w:r>
    </w:p>
    <w:p w:rsidR="00234456" w:rsidRPr="00C4514D" w:rsidRDefault="00234456" w:rsidP="00D67ECF">
      <w:pPr>
        <w:numPr>
          <w:ilvl w:val="0"/>
          <w:numId w:val="51"/>
        </w:numPr>
        <w:shd w:val="clear" w:color="auto" w:fill="FFFFFF"/>
        <w:autoSpaceDE w:val="0"/>
        <w:autoSpaceDN w:val="0"/>
        <w:adjustRightInd w:val="0"/>
        <w:spacing w:after="180" w:line="276" w:lineRule="auto"/>
        <w:ind w:left="714" w:hanging="357"/>
        <w:jc w:val="both"/>
        <w:rPr>
          <w:rFonts w:ascii="Verdana" w:eastAsia="MS Mincho" w:hAnsi="Verdana" w:cs="Arial"/>
          <w:sz w:val="22"/>
          <w:szCs w:val="22"/>
          <w:lang w:eastAsia="ja-JP"/>
        </w:rPr>
      </w:pPr>
      <w:r w:rsidRPr="00C4514D">
        <w:rPr>
          <w:rFonts w:ascii="Verdana" w:eastAsia="MS Mincho" w:hAnsi="Verdana" w:cs="Arial"/>
          <w:sz w:val="22"/>
          <w:szCs w:val="22"/>
          <w:lang w:eastAsia="ja-JP"/>
        </w:rPr>
        <w:t>Less developed regions as defined in EU Regulation 1303/2013 Article 120 3 (b) shall receive 85% ERDF contribution</w:t>
      </w:r>
    </w:p>
    <w:p w:rsidR="00234456" w:rsidRPr="00C4514D" w:rsidRDefault="00234456" w:rsidP="00D67ECF">
      <w:pPr>
        <w:numPr>
          <w:ilvl w:val="0"/>
          <w:numId w:val="51"/>
        </w:numPr>
        <w:shd w:val="clear" w:color="auto" w:fill="FFFFFF"/>
        <w:autoSpaceDE w:val="0"/>
        <w:autoSpaceDN w:val="0"/>
        <w:adjustRightInd w:val="0"/>
        <w:spacing w:after="180" w:line="276" w:lineRule="auto"/>
        <w:ind w:left="714" w:hanging="357"/>
        <w:jc w:val="both"/>
        <w:rPr>
          <w:rFonts w:ascii="Verdana" w:eastAsia="MS Mincho" w:hAnsi="Verdana" w:cs="Arial"/>
          <w:sz w:val="22"/>
          <w:szCs w:val="22"/>
          <w:lang w:eastAsia="ja-JP"/>
        </w:rPr>
      </w:pPr>
      <w:r w:rsidRPr="00C4514D">
        <w:rPr>
          <w:rFonts w:ascii="Verdana" w:eastAsia="MS Mincho" w:hAnsi="Verdana" w:cs="Arial"/>
          <w:sz w:val="22"/>
          <w:szCs w:val="22"/>
          <w:lang w:eastAsia="ja-JP"/>
        </w:rPr>
        <w:t>Less developed regions as defined in EU Regulation 1303/2013 Article 120 3 (c) shall receive 85% ERDF contribution</w:t>
      </w:r>
    </w:p>
    <w:p w:rsidR="00234456" w:rsidRPr="00C4514D" w:rsidRDefault="00234456" w:rsidP="00D67ECF">
      <w:pPr>
        <w:numPr>
          <w:ilvl w:val="0"/>
          <w:numId w:val="51"/>
        </w:numPr>
        <w:shd w:val="clear" w:color="auto" w:fill="FFFFFF"/>
        <w:autoSpaceDE w:val="0"/>
        <w:autoSpaceDN w:val="0"/>
        <w:adjustRightInd w:val="0"/>
        <w:spacing w:after="180" w:line="276" w:lineRule="auto"/>
        <w:ind w:left="714" w:hanging="357"/>
        <w:jc w:val="both"/>
        <w:rPr>
          <w:rFonts w:ascii="Verdana" w:eastAsia="MS Mincho" w:hAnsi="Verdana" w:cs="Arial"/>
          <w:sz w:val="22"/>
          <w:szCs w:val="22"/>
          <w:lang w:eastAsia="ja-JP"/>
        </w:rPr>
      </w:pPr>
      <w:r w:rsidRPr="00C4514D">
        <w:rPr>
          <w:rFonts w:ascii="Verdana" w:eastAsia="MS Mincho" w:hAnsi="Verdana" w:cs="Arial"/>
          <w:sz w:val="22"/>
          <w:szCs w:val="22"/>
          <w:lang w:eastAsia="ja-JP"/>
        </w:rPr>
        <w:t>Transition regions as defined in EU Regulation 1303/2013 Article 120 3 (d) shall receive 85% ERDF contribution</w:t>
      </w:r>
    </w:p>
    <w:p w:rsidR="00234456" w:rsidRPr="00C4514D" w:rsidRDefault="00234456" w:rsidP="00D67ECF">
      <w:pPr>
        <w:numPr>
          <w:ilvl w:val="0"/>
          <w:numId w:val="51"/>
        </w:numPr>
        <w:shd w:val="clear" w:color="auto" w:fill="FFFFFF"/>
        <w:autoSpaceDE w:val="0"/>
        <w:autoSpaceDN w:val="0"/>
        <w:adjustRightInd w:val="0"/>
        <w:spacing w:after="180" w:line="276" w:lineRule="auto"/>
        <w:ind w:left="714" w:hanging="357"/>
        <w:jc w:val="both"/>
        <w:rPr>
          <w:rFonts w:ascii="Verdana" w:eastAsia="MS Mincho" w:hAnsi="Verdana" w:cs="Arial"/>
          <w:sz w:val="22"/>
          <w:szCs w:val="22"/>
          <w:lang w:eastAsia="ja-JP"/>
        </w:rPr>
      </w:pPr>
      <w:r w:rsidRPr="00C4514D">
        <w:rPr>
          <w:rFonts w:ascii="Verdana" w:eastAsia="MS Mincho" w:hAnsi="Verdana" w:cs="Arial"/>
          <w:sz w:val="22"/>
          <w:szCs w:val="22"/>
          <w:lang w:eastAsia="ja-JP"/>
        </w:rPr>
        <w:t>More developed regions as defined in EU Regulation 1303/2013 Article 120 3 (e) shall receive 70% ERDF contribution</w:t>
      </w:r>
    </w:p>
    <w:p w:rsidR="0099587B" w:rsidRPr="00C4514D" w:rsidRDefault="0099587B" w:rsidP="008B00B7">
      <w:pPr>
        <w:autoSpaceDE w:val="0"/>
        <w:autoSpaceDN w:val="0"/>
        <w:adjustRightInd w:val="0"/>
        <w:spacing w:after="180" w:line="276" w:lineRule="auto"/>
        <w:jc w:val="both"/>
        <w:rPr>
          <w:rFonts w:ascii="Verdana" w:eastAsia="MS Mincho" w:hAnsi="Verdana" w:cs="Arial"/>
          <w:bCs/>
          <w:sz w:val="22"/>
          <w:szCs w:val="22"/>
          <w:lang w:eastAsia="ja-JP"/>
        </w:rPr>
      </w:pPr>
      <w:r w:rsidRPr="00C4514D">
        <w:rPr>
          <w:rFonts w:ascii="Verdana" w:eastAsia="MS Mincho" w:hAnsi="Verdana" w:cs="Arial"/>
          <w:bCs/>
          <w:sz w:val="22"/>
          <w:szCs w:val="22"/>
          <w:lang w:eastAsia="ja-JP"/>
        </w:rPr>
        <w:t xml:space="preserve">The managing authority/certifying authority administers the ERDF and Swiss/Norwegian funding of the programme as well as the national ex ante contributions to the programme budget. Separate accounts will be set up within 3 months after the approval of the programme: one for ex ante contributions, one for ERDF and one for the Swiss / Norwegian funding. </w:t>
      </w:r>
    </w:p>
    <w:p w:rsidR="0099587B" w:rsidRPr="00C4514D" w:rsidRDefault="00CE6A52" w:rsidP="008B00B7">
      <w:pPr>
        <w:autoSpaceDE w:val="0"/>
        <w:autoSpaceDN w:val="0"/>
        <w:adjustRightInd w:val="0"/>
        <w:spacing w:after="180" w:line="276" w:lineRule="auto"/>
        <w:jc w:val="both"/>
        <w:rPr>
          <w:rFonts w:ascii="Verdana" w:eastAsia="MS Mincho" w:hAnsi="Verdana" w:cs="Arial"/>
          <w:bCs/>
          <w:sz w:val="22"/>
          <w:szCs w:val="22"/>
          <w:lang w:eastAsia="ja-JP"/>
        </w:rPr>
      </w:pPr>
      <w:r w:rsidRPr="00C4514D">
        <w:rPr>
          <w:rFonts w:ascii="Verdana" w:eastAsia="MS Mincho" w:hAnsi="Verdana" w:cs="Arial"/>
          <w:bCs/>
          <w:sz w:val="22"/>
          <w:szCs w:val="22"/>
          <w:lang w:eastAsia="ja-JP"/>
        </w:rPr>
        <w:t>T</w:t>
      </w:r>
      <w:r w:rsidR="0099587B" w:rsidRPr="00C4514D">
        <w:rPr>
          <w:rFonts w:ascii="Verdana" w:eastAsia="MS Mincho" w:hAnsi="Verdana" w:cs="Arial"/>
          <w:bCs/>
          <w:sz w:val="22"/>
          <w:szCs w:val="22"/>
          <w:lang w:eastAsia="ja-JP"/>
        </w:rPr>
        <w:t>he MS/PS shall transfer their national contributions to the programme for the current year on the base of the financial plan agreed. The MS/PS may also transfer their total national ex-ante contribution with the first payment if they so wish. At the beginning of each year, the managing authority, in coordination with the certifying authority, shall send to the MS/PS a request of payment asking for the transfer of the ex-ante contribution foreseen for the current year.</w:t>
      </w:r>
    </w:p>
    <w:p w:rsidR="0099587B" w:rsidRPr="00C4514D" w:rsidRDefault="0099587B" w:rsidP="008B00B7">
      <w:pPr>
        <w:autoSpaceDE w:val="0"/>
        <w:autoSpaceDN w:val="0"/>
        <w:adjustRightInd w:val="0"/>
        <w:spacing w:after="180" w:line="276" w:lineRule="auto"/>
        <w:jc w:val="both"/>
        <w:rPr>
          <w:rFonts w:ascii="Verdana" w:eastAsia="MS Mincho" w:hAnsi="Verdana" w:cs="Arial"/>
          <w:bCs/>
          <w:sz w:val="22"/>
          <w:szCs w:val="22"/>
          <w:lang w:eastAsia="ja-JP"/>
        </w:rPr>
      </w:pPr>
      <w:r w:rsidRPr="00C4514D">
        <w:rPr>
          <w:rFonts w:ascii="Verdana" w:eastAsia="MS Mincho" w:hAnsi="Verdana" w:cs="Arial"/>
          <w:bCs/>
          <w:sz w:val="22"/>
          <w:szCs w:val="22"/>
          <w:lang w:eastAsia="ja-JP"/>
        </w:rPr>
        <w:t xml:space="preserve">A report on the payment situation and on interest generated on the account will be given by the managing authority/certifying authority to the monitoring committee. In compliance with Article 38 of Regulation 1303/2013 [CPR] the use of any interest accrued by the programme shall be agreed with Member/Partner States in the principles of sound financial management. Information on this shall be declared to the EC at the time of the final closure of the programme. </w:t>
      </w:r>
    </w:p>
    <w:p w:rsidR="0099587B" w:rsidRPr="00C4514D" w:rsidRDefault="0099587B" w:rsidP="008B00B7">
      <w:pPr>
        <w:autoSpaceDE w:val="0"/>
        <w:autoSpaceDN w:val="0"/>
        <w:adjustRightInd w:val="0"/>
        <w:spacing w:after="180" w:line="276" w:lineRule="auto"/>
        <w:jc w:val="both"/>
        <w:rPr>
          <w:rFonts w:ascii="Verdana" w:eastAsia="MS Mincho" w:hAnsi="Verdana" w:cs="Arial"/>
          <w:bCs/>
          <w:sz w:val="22"/>
          <w:szCs w:val="22"/>
          <w:lang w:eastAsia="ja-JP"/>
        </w:rPr>
      </w:pPr>
      <w:r w:rsidRPr="00C4514D">
        <w:rPr>
          <w:rFonts w:ascii="Verdana" w:eastAsia="MS Mincho" w:hAnsi="Verdana" w:cs="Arial"/>
          <w:bCs/>
          <w:sz w:val="22"/>
          <w:szCs w:val="22"/>
          <w:lang w:eastAsia="ja-JP"/>
        </w:rPr>
        <w:t xml:space="preserve">In the case that at the end of the programme implementation period  the Member /Partner States have transferred more funds than have actually been used, the managing authority/certifying authority will reimburse these funds. </w:t>
      </w:r>
    </w:p>
    <w:p w:rsidR="000265F1" w:rsidRPr="00C4514D" w:rsidRDefault="000265F1" w:rsidP="008B00B7">
      <w:pPr>
        <w:spacing w:after="180" w:line="276" w:lineRule="auto"/>
        <w:rPr>
          <w:rFonts w:ascii="Verdana" w:eastAsia="MS Mincho" w:hAnsi="Verdana" w:cs="Arial"/>
          <w:b/>
          <w:i/>
          <w:iCs/>
          <w:sz w:val="22"/>
          <w:szCs w:val="22"/>
          <w:lang w:eastAsia="ja-JP"/>
        </w:rPr>
      </w:pPr>
      <w:r w:rsidRPr="00C4514D">
        <w:rPr>
          <w:rFonts w:ascii="Verdana" w:eastAsia="MS Mincho" w:hAnsi="Verdana" w:cs="Arial"/>
          <w:b/>
          <w:i/>
          <w:iCs/>
          <w:sz w:val="22"/>
          <w:szCs w:val="22"/>
          <w:lang w:eastAsia="ja-JP"/>
        </w:rPr>
        <w:br w:type="page"/>
      </w:r>
    </w:p>
    <w:p w:rsidR="0099587B" w:rsidRPr="00C4514D" w:rsidRDefault="0099587B" w:rsidP="008B00B7">
      <w:pPr>
        <w:autoSpaceDE w:val="0"/>
        <w:autoSpaceDN w:val="0"/>
        <w:adjustRightInd w:val="0"/>
        <w:spacing w:after="180" w:line="276" w:lineRule="auto"/>
        <w:jc w:val="both"/>
        <w:rPr>
          <w:rFonts w:ascii="Verdana" w:eastAsia="MS Mincho" w:hAnsi="Verdana" w:cs="Arial"/>
          <w:b/>
          <w:i/>
          <w:iCs/>
          <w:sz w:val="22"/>
          <w:szCs w:val="22"/>
          <w:lang w:eastAsia="ja-JP"/>
        </w:rPr>
      </w:pPr>
      <w:r w:rsidRPr="00C4514D">
        <w:rPr>
          <w:rFonts w:ascii="Verdana" w:eastAsia="MS Mincho" w:hAnsi="Verdana" w:cs="Arial"/>
          <w:b/>
          <w:i/>
          <w:iCs/>
          <w:sz w:val="22"/>
          <w:szCs w:val="22"/>
          <w:lang w:eastAsia="ja-JP"/>
        </w:rPr>
        <w:t>Main stages of Community funding from the managing authority/certifying authority to the lead partners</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All projects have to be pre-financed by the project partners. The lead partner collects the certified declarations of expenditure of all project partners and makes a claim for reimbursement within the progress report to the managing authority/certifying authority. The reimbursement is paid from the managing authority/certifying authority to the lead partner; and the lead partner distributes the money to the partners. All amounts referred to in the subsidy contract are expressed in EURO (EUR). Funds will be disbursed in EURO (EUR) to the bank account specified by the lead partner in the project application. The exchange rate risk is borne by the lead partner/project partner.</w:t>
      </w:r>
    </w:p>
    <w:p w:rsidR="0099587B" w:rsidRPr="00C4514D" w:rsidRDefault="0099587B" w:rsidP="008B00B7">
      <w:pPr>
        <w:autoSpaceDE w:val="0"/>
        <w:autoSpaceDN w:val="0"/>
        <w:adjustRightInd w:val="0"/>
        <w:spacing w:after="180" w:line="276" w:lineRule="auto"/>
        <w:jc w:val="both"/>
        <w:rPr>
          <w:rFonts w:ascii="Verdana" w:eastAsia="MS Mincho" w:hAnsi="Verdana" w:cs="Arial"/>
          <w:bCs/>
          <w:sz w:val="22"/>
          <w:szCs w:val="22"/>
          <w:lang w:eastAsia="ja-JP"/>
        </w:rPr>
      </w:pPr>
      <w:r w:rsidRPr="00C4514D">
        <w:rPr>
          <w:rFonts w:ascii="Verdana" w:eastAsia="MS Mincho" w:hAnsi="Verdana" w:cs="Arial"/>
          <w:bCs/>
          <w:sz w:val="22"/>
          <w:szCs w:val="22"/>
          <w:lang w:eastAsia="ja-JP"/>
        </w:rPr>
        <w:t xml:space="preserve">Pursuant to Articles </w:t>
      </w:r>
      <w:r w:rsidR="005E7D3F" w:rsidRPr="00C4514D">
        <w:rPr>
          <w:rFonts w:ascii="Verdana" w:eastAsia="MS Mincho" w:hAnsi="Verdana" w:cs="Arial"/>
          <w:bCs/>
          <w:sz w:val="22"/>
          <w:szCs w:val="22"/>
          <w:lang w:eastAsia="ja-JP"/>
        </w:rPr>
        <w:t>132</w:t>
      </w:r>
      <w:r w:rsidRPr="00C4514D">
        <w:rPr>
          <w:rFonts w:ascii="Verdana" w:eastAsia="MS Mincho" w:hAnsi="Verdana" w:cs="Arial"/>
          <w:bCs/>
          <w:sz w:val="22"/>
          <w:szCs w:val="22"/>
          <w:lang w:eastAsia="ja-JP"/>
        </w:rPr>
        <w:t xml:space="preserve"> of Regulation (EU) 1303/2013 [CPR], the managing authority/certifying authority undertakes the payment of the ERDF to the lead partners.</w:t>
      </w:r>
      <w:r w:rsidRPr="00C4514D">
        <w:rPr>
          <w:rFonts w:ascii="Verdana" w:eastAsia="Cambria" w:hAnsi="Verdana" w:cs="Arial"/>
          <w:sz w:val="22"/>
          <w:szCs w:val="22"/>
          <w:lang w:eastAsia="en-US"/>
        </w:rPr>
        <w:t xml:space="preserve"> </w:t>
      </w:r>
      <w:r w:rsidRPr="00C4514D">
        <w:rPr>
          <w:rFonts w:ascii="Verdana" w:eastAsia="MS Mincho" w:hAnsi="Verdana" w:cs="Arial"/>
          <w:bCs/>
          <w:sz w:val="22"/>
          <w:szCs w:val="22"/>
          <w:lang w:eastAsia="ja-JP"/>
        </w:rPr>
        <w:t xml:space="preserve">The managing authority/certifying authority ensures that the lead partners receive payment in full and as quickly as possible </w:t>
      </w:r>
      <w:r w:rsidRPr="00C4514D">
        <w:rPr>
          <w:rFonts w:ascii="Verdana" w:hAnsi="Verdana" w:cs="Arial"/>
          <w:color w:val="000000"/>
          <w:sz w:val="22"/>
          <w:szCs w:val="22"/>
        </w:rPr>
        <w:t xml:space="preserve">after approval of the reports by the </w:t>
      </w:r>
      <w:r w:rsidRPr="00C4514D">
        <w:rPr>
          <w:rFonts w:ascii="Verdana" w:eastAsia="Cambria" w:hAnsi="Verdana" w:cs="Arial"/>
          <w:sz w:val="22"/>
          <w:szCs w:val="22"/>
          <w:lang w:eastAsia="en-US"/>
        </w:rPr>
        <w:t>managing authority/joint secretariat</w:t>
      </w:r>
      <w:r w:rsidRPr="00C4514D">
        <w:rPr>
          <w:rFonts w:ascii="Verdana" w:hAnsi="Verdana" w:cs="Arial"/>
          <w:color w:val="000000"/>
          <w:sz w:val="22"/>
          <w:szCs w:val="22"/>
        </w:rPr>
        <w:t xml:space="preserve"> provided that the funds are made available by the European Commission. No deduction, retention or further specific charges which would reduce the amount of the payment shall be made. </w:t>
      </w:r>
      <w:r w:rsidRPr="00C4514D">
        <w:rPr>
          <w:rFonts w:ascii="Verdana" w:eastAsia="MS Mincho" w:hAnsi="Verdana" w:cs="Arial"/>
          <w:bCs/>
          <w:sz w:val="22"/>
          <w:szCs w:val="22"/>
          <w:lang w:eastAsia="ja-JP"/>
        </w:rPr>
        <w:t>It is up to the lead partners to forward the ERDF contribution to the project partners as set out in Article 13 of Regulation (EU) 1299/2013 [ETC].</w:t>
      </w:r>
      <w:r w:rsidR="005E7D3F" w:rsidRPr="00C4514D">
        <w:rPr>
          <w:rFonts w:ascii="Verdana" w:eastAsia="MS Mincho" w:hAnsi="Verdana" w:cs="Arial"/>
          <w:bCs/>
          <w:sz w:val="22"/>
          <w:szCs w:val="22"/>
          <w:lang w:eastAsia="ja-JP"/>
        </w:rPr>
        <w:t xml:space="preserve"> Norwegian and Swiss funds are managed at national level.</w:t>
      </w:r>
    </w:p>
    <w:p w:rsidR="0099587B" w:rsidRPr="00C4514D" w:rsidRDefault="0099587B" w:rsidP="008B00B7">
      <w:pPr>
        <w:spacing w:after="180" w:line="276" w:lineRule="auto"/>
        <w:jc w:val="both"/>
        <w:rPr>
          <w:rFonts w:ascii="Verdana" w:eastAsia="Cambria" w:hAnsi="Verdana" w:cs="Arial"/>
          <w:sz w:val="22"/>
          <w:szCs w:val="22"/>
          <w:lang w:eastAsia="en-US"/>
        </w:rPr>
      </w:pPr>
      <w:r w:rsidRPr="00C4514D">
        <w:rPr>
          <w:rFonts w:ascii="Verdana" w:eastAsia="Cambria" w:hAnsi="Verdana" w:cs="Arial"/>
          <w:sz w:val="22"/>
          <w:szCs w:val="22"/>
          <w:lang w:eastAsia="en-US"/>
        </w:rPr>
        <w:t xml:space="preserve">Should there be any suspicion of irregularities, the managing authority/joint secretariat and/or the certifying authority shall inform the competent Member / Partner State administrations listed as indicated in the annex of the submitted agreement in compliance with the description of the management and control system and suspend the reimbursement of the ERDF financing related to the project partner and expenditure under examination. </w:t>
      </w:r>
    </w:p>
    <w:p w:rsidR="0099587B" w:rsidRPr="00C4514D" w:rsidRDefault="0099587B" w:rsidP="008B00B7">
      <w:pPr>
        <w:autoSpaceDE w:val="0"/>
        <w:autoSpaceDN w:val="0"/>
        <w:adjustRightInd w:val="0"/>
        <w:spacing w:after="180" w:line="276" w:lineRule="auto"/>
        <w:jc w:val="both"/>
        <w:rPr>
          <w:rFonts w:ascii="Verdana" w:eastAsia="MS Mincho" w:hAnsi="Verdana" w:cs="Arial"/>
          <w:b/>
          <w:bCs/>
          <w:sz w:val="22"/>
          <w:szCs w:val="22"/>
          <w:lang w:eastAsia="ja-JP"/>
        </w:rPr>
      </w:pPr>
    </w:p>
    <w:p w:rsidR="0099587B" w:rsidRPr="00C4514D" w:rsidRDefault="0099587B" w:rsidP="008B00B7">
      <w:pPr>
        <w:shd w:val="clear" w:color="auto" w:fill="FFFFFF"/>
        <w:autoSpaceDE w:val="0"/>
        <w:autoSpaceDN w:val="0"/>
        <w:adjustRightInd w:val="0"/>
        <w:spacing w:after="180" w:line="276" w:lineRule="auto"/>
        <w:jc w:val="both"/>
        <w:rPr>
          <w:rFonts w:ascii="Verdana" w:eastAsia="Cambria" w:hAnsi="Verdana" w:cs="Arial"/>
          <w:i/>
          <w:iCs/>
          <w:sz w:val="22"/>
          <w:szCs w:val="22"/>
          <w:u w:val="single"/>
          <w:lang w:eastAsia="en-US"/>
        </w:rPr>
      </w:pPr>
      <w:r w:rsidRPr="00C4514D">
        <w:rPr>
          <w:rFonts w:ascii="Verdana" w:eastAsia="MS Mincho" w:hAnsi="Verdana" w:cs="Arial"/>
          <w:b/>
          <w:bCs/>
          <w:i/>
          <w:sz w:val="22"/>
          <w:szCs w:val="22"/>
          <w:lang w:eastAsia="ja-JP"/>
        </w:rPr>
        <w:t>Information and communication</w:t>
      </w:r>
    </w:p>
    <w:p w:rsidR="00CE6A52" w:rsidRPr="00C4514D" w:rsidRDefault="0099587B" w:rsidP="008B00B7">
      <w:pPr>
        <w:shd w:val="clear" w:color="auto" w:fill="FFFFFF"/>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The managing authority, assisted by the joint secretariat, will draw up a communication strategy which will be discussed and approved by the monitoring committee </w:t>
      </w:r>
      <w:r w:rsidRPr="00C4514D">
        <w:rPr>
          <w:rFonts w:ascii="Verdana" w:eastAsia="Cambria" w:hAnsi="Verdana"/>
          <w:sz w:val="22"/>
          <w:szCs w:val="22"/>
          <w:lang w:eastAsia="en-US"/>
        </w:rPr>
        <w:t>no later than 6 months after the adoption of the operational programme concerned</w:t>
      </w:r>
      <w:r w:rsidRPr="00C4514D">
        <w:rPr>
          <w:rFonts w:ascii="Verdana" w:eastAsia="MS Mincho" w:hAnsi="Verdana" w:cs="Arial"/>
          <w:sz w:val="22"/>
          <w:szCs w:val="22"/>
          <w:lang w:eastAsia="ja-JP"/>
        </w:rPr>
        <w:t xml:space="preserve">, in accordance with </w:t>
      </w:r>
      <w:r w:rsidRPr="00C4514D">
        <w:rPr>
          <w:rFonts w:ascii="Verdana" w:eastAsia="MS Mincho" w:hAnsi="Verdana" w:cs="Arial"/>
          <w:bCs/>
          <w:sz w:val="22"/>
          <w:szCs w:val="22"/>
          <w:lang w:eastAsia="ja-JP"/>
        </w:rPr>
        <w:t>Article 116 of Regulation (EU) 1303/2013 [CPR]</w:t>
      </w:r>
      <w:r w:rsidRPr="00C4514D">
        <w:rPr>
          <w:rFonts w:ascii="Verdana" w:eastAsia="MS Mincho" w:hAnsi="Verdana" w:cs="Arial"/>
          <w:sz w:val="22"/>
          <w:szCs w:val="22"/>
          <w:lang w:eastAsia="ja-JP"/>
        </w:rPr>
        <w:t xml:space="preserve">. </w:t>
      </w:r>
    </w:p>
    <w:p w:rsidR="00CE6A52" w:rsidRPr="00C4514D" w:rsidRDefault="00CE6A52" w:rsidP="008B00B7">
      <w:pPr>
        <w:shd w:val="clear" w:color="auto" w:fill="FFFFFF"/>
        <w:autoSpaceDE w:val="0"/>
        <w:autoSpaceDN w:val="0"/>
        <w:adjustRightInd w:val="0"/>
        <w:spacing w:after="180" w:line="276" w:lineRule="auto"/>
        <w:jc w:val="both"/>
        <w:rPr>
          <w:rFonts w:ascii="Verdana" w:eastAsia="MS Mincho" w:hAnsi="Verdana" w:cs="Arial"/>
          <w:bCs/>
          <w:sz w:val="22"/>
          <w:szCs w:val="22"/>
          <w:lang w:eastAsia="ja-JP"/>
        </w:rPr>
      </w:pPr>
      <w:r w:rsidRPr="00C4514D">
        <w:rPr>
          <w:rFonts w:ascii="Verdana" w:eastAsia="MS Mincho" w:hAnsi="Verdana" w:cs="Arial"/>
          <w:sz w:val="22"/>
          <w:szCs w:val="22"/>
          <w:lang w:eastAsia="ja-JP"/>
        </w:rPr>
        <w:t xml:space="preserve">The Communication Strategy shall include the following elements as outlined in Annex XII of </w:t>
      </w:r>
      <w:r w:rsidRPr="00C4514D">
        <w:rPr>
          <w:rFonts w:ascii="Verdana" w:eastAsia="MS Mincho" w:hAnsi="Verdana" w:cs="Arial"/>
          <w:bCs/>
          <w:sz w:val="22"/>
          <w:szCs w:val="22"/>
          <w:lang w:eastAsia="ja-JP"/>
        </w:rPr>
        <w:t>Regulation (EU) 1303/2013 [CPR]:</w:t>
      </w:r>
    </w:p>
    <w:p w:rsidR="00E73A82" w:rsidRPr="00C4514D" w:rsidRDefault="00CE6A52" w:rsidP="00D67ECF">
      <w:pPr>
        <w:pStyle w:val="Paragraphedeliste3"/>
        <w:numPr>
          <w:ilvl w:val="0"/>
          <w:numId w:val="52"/>
        </w:numPr>
        <w:shd w:val="clear" w:color="auto" w:fill="FFFFFF"/>
        <w:autoSpaceDE w:val="0"/>
        <w:autoSpaceDN w:val="0"/>
        <w:adjustRightInd w:val="0"/>
        <w:spacing w:after="180"/>
        <w:ind w:left="714" w:hanging="357"/>
        <w:jc w:val="both"/>
        <w:rPr>
          <w:rFonts w:ascii="Verdana" w:eastAsia="MS Mincho" w:hAnsi="Verdana" w:cs="Arial"/>
          <w:lang w:eastAsia="ja-JP"/>
        </w:rPr>
      </w:pPr>
      <w:r w:rsidRPr="00C4514D">
        <w:rPr>
          <w:rFonts w:ascii="Verdana" w:eastAsia="MS Mincho" w:hAnsi="Verdana" w:cs="Arial"/>
          <w:lang w:eastAsia="ja-JP"/>
        </w:rPr>
        <w:t>List of operations receiving ERDF funding</w:t>
      </w:r>
    </w:p>
    <w:p w:rsidR="00E73A82" w:rsidRPr="00C4514D" w:rsidRDefault="00CE6A52" w:rsidP="00D67ECF">
      <w:pPr>
        <w:pStyle w:val="Paragraphedeliste3"/>
        <w:numPr>
          <w:ilvl w:val="0"/>
          <w:numId w:val="52"/>
        </w:numPr>
        <w:shd w:val="clear" w:color="auto" w:fill="FFFFFF"/>
        <w:autoSpaceDE w:val="0"/>
        <w:autoSpaceDN w:val="0"/>
        <w:adjustRightInd w:val="0"/>
        <w:spacing w:after="180"/>
        <w:ind w:left="714" w:hanging="357"/>
        <w:jc w:val="both"/>
        <w:rPr>
          <w:rFonts w:ascii="Verdana" w:eastAsia="MS Mincho" w:hAnsi="Verdana" w:cs="Arial"/>
          <w:lang w:eastAsia="ja-JP"/>
        </w:rPr>
      </w:pPr>
      <w:r w:rsidRPr="00C4514D">
        <w:rPr>
          <w:rFonts w:ascii="Verdana" w:eastAsia="MS Mincho" w:hAnsi="Verdana" w:cs="Arial"/>
          <w:lang w:eastAsia="ja-JP"/>
        </w:rPr>
        <w:t>Information and communication measures for the public</w:t>
      </w:r>
      <w:r w:rsidR="000746D3" w:rsidRPr="00C4514D">
        <w:rPr>
          <w:rFonts w:ascii="Verdana" w:eastAsia="MS Mincho" w:hAnsi="Verdana" w:cs="Arial"/>
          <w:lang w:eastAsia="ja-JP"/>
        </w:rPr>
        <w:t xml:space="preserve"> including </w:t>
      </w:r>
      <w:r w:rsidR="00161DCB" w:rsidRPr="00C4514D">
        <w:rPr>
          <w:rFonts w:ascii="Verdana" w:eastAsia="MS Mincho" w:hAnsi="Verdana" w:cs="Arial"/>
          <w:lang w:eastAsia="ja-JP"/>
        </w:rPr>
        <w:t>media coverage, promotion of calls for proposals, use of logos, institutional website</w:t>
      </w:r>
    </w:p>
    <w:p w:rsidR="00E73A82" w:rsidRPr="00C4514D" w:rsidRDefault="00161DCB" w:rsidP="00D67ECF">
      <w:pPr>
        <w:pStyle w:val="Paragraphedeliste3"/>
        <w:numPr>
          <w:ilvl w:val="0"/>
          <w:numId w:val="52"/>
        </w:numPr>
        <w:shd w:val="clear" w:color="auto" w:fill="FFFFFF"/>
        <w:autoSpaceDE w:val="0"/>
        <w:autoSpaceDN w:val="0"/>
        <w:adjustRightInd w:val="0"/>
        <w:spacing w:after="180"/>
        <w:ind w:left="714" w:hanging="357"/>
        <w:jc w:val="both"/>
        <w:rPr>
          <w:rFonts w:ascii="Verdana" w:eastAsia="MS Mincho" w:hAnsi="Verdana" w:cs="Arial"/>
          <w:lang w:eastAsia="ja-JP"/>
        </w:rPr>
      </w:pPr>
      <w:r w:rsidRPr="00C4514D">
        <w:rPr>
          <w:rFonts w:ascii="Verdana" w:eastAsia="MS Mincho" w:hAnsi="Verdana" w:cs="Arial"/>
          <w:lang w:eastAsia="ja-JP"/>
        </w:rPr>
        <w:t xml:space="preserve">Information measures for beneficiaries including information on support </w:t>
      </w:r>
      <w:r w:rsidR="00307879" w:rsidRPr="00C4514D">
        <w:rPr>
          <w:rFonts w:ascii="Verdana" w:eastAsia="MS Mincho" w:hAnsi="Verdana" w:cs="Arial"/>
          <w:lang w:eastAsia="ja-JP"/>
        </w:rPr>
        <w:t>offered</w:t>
      </w:r>
      <w:r w:rsidRPr="00C4514D">
        <w:rPr>
          <w:rFonts w:ascii="Verdana" w:eastAsia="MS Mincho" w:hAnsi="Verdana" w:cs="Arial"/>
          <w:lang w:eastAsia="ja-JP"/>
        </w:rPr>
        <w:t xml:space="preserve"> eligibility of expenditure, description of process and criteria for project select</w:t>
      </w:r>
      <w:r w:rsidR="009B694B" w:rsidRPr="00C4514D">
        <w:rPr>
          <w:rFonts w:ascii="Verdana" w:eastAsia="MS Mincho" w:hAnsi="Verdana" w:cs="Arial"/>
          <w:lang w:eastAsia="ja-JP"/>
        </w:rPr>
        <w:t>ion.</w:t>
      </w:r>
    </w:p>
    <w:p w:rsidR="00E73A82" w:rsidRPr="00C4514D" w:rsidRDefault="00161DCB" w:rsidP="00D67ECF">
      <w:pPr>
        <w:pStyle w:val="Paragraphedeliste3"/>
        <w:numPr>
          <w:ilvl w:val="0"/>
          <w:numId w:val="52"/>
        </w:numPr>
        <w:shd w:val="clear" w:color="auto" w:fill="FFFFFF"/>
        <w:autoSpaceDE w:val="0"/>
        <w:autoSpaceDN w:val="0"/>
        <w:adjustRightInd w:val="0"/>
        <w:spacing w:after="180"/>
        <w:ind w:left="714" w:hanging="357"/>
        <w:jc w:val="both"/>
        <w:rPr>
          <w:rFonts w:ascii="Verdana" w:eastAsia="MS Mincho" w:hAnsi="Verdana" w:cs="Arial"/>
          <w:lang w:eastAsia="ja-JP"/>
        </w:rPr>
      </w:pPr>
      <w:r w:rsidRPr="00C4514D">
        <w:rPr>
          <w:rFonts w:ascii="Verdana" w:eastAsia="MS Mincho" w:hAnsi="Verdana" w:cs="Arial"/>
          <w:lang w:eastAsia="ja-JP"/>
        </w:rPr>
        <w:t>A description of the tools including the website, support to beneficiaries, indicative budget, visibility and awareness, communication results and annual targets</w:t>
      </w:r>
    </w:p>
    <w:p w:rsidR="0099587B" w:rsidRPr="00C4514D" w:rsidRDefault="0099587B" w:rsidP="008B00B7">
      <w:pPr>
        <w:shd w:val="clear" w:color="auto" w:fill="FFFFFF"/>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Any revision of the communication strategy shall be discussed in, and approved by, the monitoring committee.</w:t>
      </w:r>
    </w:p>
    <w:p w:rsidR="0099587B" w:rsidRPr="00C4514D" w:rsidRDefault="0099587B" w:rsidP="008B00B7">
      <w:pPr>
        <w:shd w:val="clear" w:color="auto" w:fill="FFFFFF"/>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The managing authority will inform the monitoring committee at least once a year of progress in the implementation of the communication strategy and its assessment of the results, as well as on the planned information and c</w:t>
      </w:r>
      <w:r w:rsidR="008D5F4A">
        <w:rPr>
          <w:rFonts w:ascii="Verdana" w:eastAsia="MS Mincho" w:hAnsi="Verdana" w:cs="Arial"/>
          <w:sz w:val="22"/>
          <w:szCs w:val="22"/>
          <w:lang w:eastAsia="ja-JP"/>
        </w:rPr>
        <w:t>o</w:t>
      </w:r>
      <w:r w:rsidRPr="00C4514D">
        <w:rPr>
          <w:rFonts w:ascii="Verdana" w:eastAsia="MS Mincho" w:hAnsi="Verdana" w:cs="Arial"/>
          <w:sz w:val="22"/>
          <w:szCs w:val="22"/>
          <w:lang w:eastAsia="ja-JP"/>
        </w:rPr>
        <w:t>mmunication activities to be carried out in the following year.</w:t>
      </w:r>
    </w:p>
    <w:p w:rsidR="0099587B" w:rsidRPr="00C4514D" w:rsidRDefault="0099587B" w:rsidP="008B00B7">
      <w:pPr>
        <w:shd w:val="clear" w:color="auto" w:fill="FFFFFF"/>
        <w:autoSpaceDE w:val="0"/>
        <w:autoSpaceDN w:val="0"/>
        <w:adjustRightInd w:val="0"/>
        <w:spacing w:after="180" w:line="276" w:lineRule="auto"/>
        <w:jc w:val="both"/>
        <w:rPr>
          <w:rFonts w:ascii="Verdana" w:eastAsia="Cambria" w:hAnsi="Verdana"/>
          <w:sz w:val="22"/>
          <w:szCs w:val="22"/>
          <w:lang w:eastAsia="en-US"/>
        </w:rPr>
      </w:pPr>
      <w:r w:rsidRPr="00C4514D">
        <w:rPr>
          <w:rFonts w:ascii="Verdana" w:eastAsia="Cambria" w:hAnsi="Verdana"/>
          <w:sz w:val="22"/>
          <w:szCs w:val="22"/>
          <w:lang w:eastAsia="en-US"/>
        </w:rPr>
        <w:t>Article 115(1)</w:t>
      </w:r>
      <w:r w:rsidRPr="00C4514D">
        <w:rPr>
          <w:rFonts w:ascii="Verdana" w:eastAsia="MS Mincho" w:hAnsi="Verdana" w:cs="Arial"/>
          <w:sz w:val="22"/>
          <w:szCs w:val="22"/>
          <w:lang w:eastAsia="ja-JP"/>
        </w:rPr>
        <w:t xml:space="preserve"> of </w:t>
      </w:r>
      <w:r w:rsidRPr="00C4514D">
        <w:rPr>
          <w:rFonts w:ascii="Verdana" w:eastAsia="MS Mincho" w:hAnsi="Verdana" w:cs="Arial"/>
          <w:bCs/>
          <w:sz w:val="22"/>
          <w:szCs w:val="22"/>
          <w:lang w:eastAsia="ja-JP"/>
        </w:rPr>
        <w:t>Regulation (EU) 1303/2013 [CPR] states that</w:t>
      </w:r>
      <w:r w:rsidRPr="00C4514D">
        <w:rPr>
          <w:rFonts w:ascii="Verdana" w:eastAsia="Cambria" w:hAnsi="Verdana"/>
          <w:sz w:val="22"/>
          <w:szCs w:val="22"/>
          <w:lang w:eastAsia="en-US"/>
        </w:rPr>
        <w:t xml:space="preserve"> each Member State shall establish a single website to all Operational Programmes in that Member State.</w:t>
      </w:r>
    </w:p>
    <w:p w:rsidR="0099587B" w:rsidRPr="00C4514D" w:rsidRDefault="0099587B" w:rsidP="008B00B7">
      <w:pPr>
        <w:shd w:val="clear" w:color="auto" w:fill="FFFFFF"/>
        <w:autoSpaceDE w:val="0"/>
        <w:autoSpaceDN w:val="0"/>
        <w:adjustRightInd w:val="0"/>
        <w:spacing w:after="180" w:line="276" w:lineRule="auto"/>
        <w:jc w:val="both"/>
        <w:rPr>
          <w:rFonts w:ascii="Verdana" w:eastAsia="MS Mincho" w:hAnsi="Verdana" w:cs="Arial"/>
          <w:bCs/>
          <w:sz w:val="22"/>
          <w:szCs w:val="22"/>
          <w:lang w:eastAsia="ja-JP"/>
        </w:rPr>
      </w:pPr>
      <w:r w:rsidRPr="00C4514D">
        <w:rPr>
          <w:rFonts w:ascii="Verdana" w:eastAsia="MS Mincho" w:hAnsi="Verdana" w:cs="Arial"/>
          <w:sz w:val="22"/>
          <w:szCs w:val="22"/>
          <w:lang w:eastAsia="ja-JP"/>
        </w:rPr>
        <w:t>The managing authority/JS will designate one person to be responsible for information and communication at programme level and shall inform the Commission of those designated. This person shall participate in any network(s) set up by the Commission to exchange on the results of the implementation of the communication strategy, as per Article 117(</w:t>
      </w:r>
      <w:r w:rsidR="005E7D3F" w:rsidRPr="00C4514D">
        <w:rPr>
          <w:rFonts w:ascii="Verdana" w:eastAsia="MS Mincho" w:hAnsi="Verdana" w:cs="Arial"/>
          <w:sz w:val="22"/>
          <w:szCs w:val="22"/>
          <w:lang w:eastAsia="ja-JP"/>
        </w:rPr>
        <w:t>4</w:t>
      </w:r>
      <w:r w:rsidRPr="00C4514D">
        <w:rPr>
          <w:rFonts w:ascii="Verdana" w:eastAsia="MS Mincho" w:hAnsi="Verdana" w:cs="Arial"/>
          <w:sz w:val="22"/>
          <w:szCs w:val="22"/>
          <w:lang w:eastAsia="ja-JP"/>
        </w:rPr>
        <w:t xml:space="preserve">) of </w:t>
      </w:r>
      <w:r w:rsidRPr="00C4514D">
        <w:rPr>
          <w:rFonts w:ascii="Verdana" w:eastAsia="MS Mincho" w:hAnsi="Verdana" w:cs="Arial"/>
          <w:bCs/>
          <w:sz w:val="22"/>
          <w:szCs w:val="22"/>
          <w:lang w:eastAsia="ja-JP"/>
        </w:rPr>
        <w:t>Regulation (EU) 1303/2013 [CPR]. The interaction between the person(s) responsible for information and communication at programme level and in each Member State will be defined in the communication strategy.</w:t>
      </w:r>
    </w:p>
    <w:p w:rsidR="0099587B" w:rsidRPr="00C4514D" w:rsidRDefault="0099587B" w:rsidP="008B00B7">
      <w:pPr>
        <w:shd w:val="clear" w:color="auto" w:fill="FFFFFF"/>
        <w:autoSpaceDE w:val="0"/>
        <w:autoSpaceDN w:val="0"/>
        <w:adjustRightInd w:val="0"/>
        <w:spacing w:after="180" w:line="276" w:lineRule="auto"/>
        <w:jc w:val="both"/>
        <w:rPr>
          <w:rFonts w:ascii="Verdana" w:eastAsia="MS Mincho" w:hAnsi="Verdana" w:cs="Arial"/>
          <w:bCs/>
          <w:sz w:val="22"/>
          <w:szCs w:val="22"/>
          <w:lang w:eastAsia="ja-JP"/>
        </w:rPr>
      </w:pPr>
      <w:r w:rsidRPr="00C4514D">
        <w:rPr>
          <w:rFonts w:ascii="Verdana" w:eastAsia="MS Mincho" w:hAnsi="Verdana" w:cs="Arial"/>
          <w:sz w:val="22"/>
          <w:szCs w:val="22"/>
          <w:lang w:eastAsia="ja-JP"/>
        </w:rPr>
        <w:t xml:space="preserve">The communication strategy will be implemented by the joint secretariat, under the direction of the programme director and the managing authority. It will </w:t>
      </w:r>
      <w:r w:rsidR="00CE6A52" w:rsidRPr="00C4514D">
        <w:rPr>
          <w:rFonts w:ascii="Verdana" w:eastAsia="MS Mincho" w:hAnsi="Verdana" w:cs="Arial"/>
          <w:sz w:val="22"/>
          <w:szCs w:val="22"/>
          <w:lang w:eastAsia="ja-JP"/>
        </w:rPr>
        <w:t xml:space="preserve">be delivered </w:t>
      </w:r>
      <w:r w:rsidRPr="00C4514D">
        <w:rPr>
          <w:rFonts w:ascii="Verdana" w:eastAsia="MS Mincho" w:hAnsi="Verdana" w:cs="Arial"/>
          <w:sz w:val="22"/>
          <w:szCs w:val="22"/>
          <w:lang w:eastAsia="ja-JP"/>
        </w:rPr>
        <w:t xml:space="preserve">in partnership with the member/ partner states and other bodies identified in Annexe </w:t>
      </w:r>
      <w:r w:rsidR="00CE6A52" w:rsidRPr="00C4514D">
        <w:rPr>
          <w:rFonts w:ascii="Verdana" w:eastAsia="MS Mincho" w:hAnsi="Verdana" w:cs="Arial"/>
          <w:sz w:val="22"/>
          <w:szCs w:val="22"/>
          <w:lang w:eastAsia="ja-JP"/>
        </w:rPr>
        <w:t>X</w:t>
      </w:r>
      <w:r w:rsidRPr="00C4514D">
        <w:rPr>
          <w:rFonts w:ascii="Verdana" w:eastAsia="MS Mincho" w:hAnsi="Verdana" w:cs="Arial"/>
          <w:sz w:val="22"/>
          <w:szCs w:val="22"/>
          <w:lang w:eastAsia="ja-JP"/>
        </w:rPr>
        <w:t>II (3)</w:t>
      </w:r>
      <w:r w:rsidRPr="00C4514D">
        <w:rPr>
          <w:rFonts w:ascii="Verdana" w:eastAsia="MS Mincho" w:hAnsi="Verdana" w:cs="Arial"/>
          <w:bCs/>
          <w:sz w:val="22"/>
          <w:szCs w:val="22"/>
          <w:lang w:eastAsia="ja-JP"/>
        </w:rPr>
        <w:t xml:space="preserve"> of Regulation (EU) 1303/2013 [CPR]. In particular, the programme member / partner states have a responsibility to provide national specific information including on potential beneficiaries provide a point of contact for potential applicants; ensure the wide dissemination of programme information; and organise national/regional seminars.</w:t>
      </w:r>
    </w:p>
    <w:p w:rsidR="0099587B" w:rsidRPr="00C4514D" w:rsidRDefault="0099587B" w:rsidP="008B00B7">
      <w:pPr>
        <w:shd w:val="clear" w:color="auto" w:fill="FFFFFF"/>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A budget for the implementation of the communication strategy for the 2014-2022 period will be made available as part of the programme’s budget, </w:t>
      </w:r>
    </w:p>
    <w:p w:rsidR="0099587B" w:rsidRPr="00C4514D" w:rsidRDefault="0099587B" w:rsidP="008B00B7">
      <w:pPr>
        <w:shd w:val="clear" w:color="auto" w:fill="FFFFFF"/>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The communication strategy aims in particular to inform potential beneficiaries about funding opportunities under this operational programme and to publicise to citizens the role and achievements of cohesion policy, through information and communication actions on the results and impacts of the programmes and operations. It will take into consideration the elements detailed in Annexe </w:t>
      </w:r>
      <w:r w:rsidR="005E7D3F" w:rsidRPr="00C4514D">
        <w:rPr>
          <w:rFonts w:ascii="Verdana" w:eastAsia="MS Mincho" w:hAnsi="Verdana" w:cs="Arial"/>
          <w:sz w:val="22"/>
          <w:szCs w:val="22"/>
          <w:lang w:eastAsia="ja-JP"/>
        </w:rPr>
        <w:t>X</w:t>
      </w:r>
      <w:r w:rsidRPr="00C4514D">
        <w:rPr>
          <w:rFonts w:ascii="Verdana" w:eastAsia="MS Mincho" w:hAnsi="Verdana" w:cs="Arial"/>
          <w:sz w:val="22"/>
          <w:szCs w:val="22"/>
          <w:lang w:eastAsia="ja-JP"/>
        </w:rPr>
        <w:t xml:space="preserve">II of </w:t>
      </w:r>
      <w:r w:rsidRPr="00C4514D">
        <w:rPr>
          <w:rFonts w:ascii="Verdana" w:eastAsia="MS Mincho" w:hAnsi="Verdana" w:cs="Arial"/>
          <w:bCs/>
          <w:sz w:val="22"/>
          <w:szCs w:val="22"/>
          <w:lang w:eastAsia="ja-JP"/>
        </w:rPr>
        <w:t>Regulation (EU) 1303/2013 [CPR].</w:t>
      </w:r>
    </w:p>
    <w:p w:rsidR="0099587B" w:rsidRPr="00C4514D" w:rsidRDefault="0099587B" w:rsidP="008B00B7">
      <w:pPr>
        <w:shd w:val="clear" w:color="auto" w:fill="FFFFFF"/>
        <w:autoSpaceDE w:val="0"/>
        <w:autoSpaceDN w:val="0"/>
        <w:adjustRightInd w:val="0"/>
        <w:spacing w:after="180" w:line="276" w:lineRule="auto"/>
        <w:jc w:val="both"/>
        <w:rPr>
          <w:rFonts w:ascii="Verdana" w:eastAsia="MS Mincho" w:hAnsi="Verdana" w:cs="Arial"/>
          <w:sz w:val="22"/>
          <w:szCs w:val="22"/>
          <w:lang w:eastAsia="ja-JP"/>
        </w:rPr>
      </w:pPr>
    </w:p>
    <w:p w:rsidR="0099587B" w:rsidRPr="00C4514D" w:rsidRDefault="0099587B" w:rsidP="008B00B7">
      <w:pPr>
        <w:shd w:val="clear" w:color="auto" w:fill="FFFFFF"/>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To ensure transparency in the support of the funds, a list of operations with at least the information set out in Annex VII (1) of </w:t>
      </w:r>
      <w:r w:rsidRPr="00C4514D">
        <w:rPr>
          <w:rFonts w:ascii="Verdana" w:eastAsia="MS Mincho" w:hAnsi="Verdana" w:cs="Arial"/>
          <w:bCs/>
          <w:sz w:val="22"/>
          <w:szCs w:val="22"/>
          <w:lang w:eastAsia="ja-JP"/>
        </w:rPr>
        <w:t>Regulation (EU) 1303/2013 [CPR] will be published on the programme website, updated at least every six months, and exportable in a format which allows the data to be sorted, searched, extracted, compared and easily published on the internet.</w:t>
      </w:r>
    </w:p>
    <w:p w:rsidR="000265F1" w:rsidRPr="00C4514D" w:rsidRDefault="000265F1" w:rsidP="008B00B7">
      <w:pPr>
        <w:spacing w:after="180" w:line="276" w:lineRule="auto"/>
        <w:rPr>
          <w:rFonts w:ascii="Verdana" w:eastAsia="Arial" w:hAnsi="Verdana"/>
          <w:b/>
          <w:bCs/>
          <w:sz w:val="22"/>
          <w:szCs w:val="22"/>
          <w:lang w:eastAsia="ar-SA"/>
        </w:rPr>
      </w:pPr>
    </w:p>
    <w:p w:rsidR="0099587B" w:rsidRPr="00627420" w:rsidRDefault="0099587B" w:rsidP="00627420">
      <w:pPr>
        <w:pStyle w:val="2"/>
        <w:spacing w:after="180" w:line="276" w:lineRule="auto"/>
        <w:rPr>
          <w:lang w:eastAsia="ar-SA"/>
        </w:rPr>
      </w:pPr>
      <w:bookmarkStart w:id="42" w:name="_Toc381007267"/>
      <w:bookmarkStart w:id="43" w:name="_Toc381008686"/>
      <w:bookmarkStart w:id="44" w:name="_Toc384648461"/>
      <w:r w:rsidRPr="00627420">
        <w:rPr>
          <w:lang w:eastAsia="ar-SA"/>
        </w:rPr>
        <w:t>5.1.4</w:t>
      </w:r>
      <w:r w:rsidR="007B5752">
        <w:rPr>
          <w:lang w:eastAsia="ar-SA"/>
        </w:rPr>
        <w:t>.</w:t>
      </w:r>
      <w:r w:rsidRPr="00627420">
        <w:rPr>
          <w:lang w:eastAsia="ar-SA"/>
        </w:rPr>
        <w:tab/>
        <w:t>The apportionment of liabilities among the participating Member States in case of financial corrections imposed by the managing authority or the Commission</w:t>
      </w:r>
      <w:bookmarkEnd w:id="42"/>
      <w:bookmarkEnd w:id="43"/>
      <w:bookmarkEnd w:id="44"/>
    </w:p>
    <w:p w:rsidR="0099587B" w:rsidRPr="00C4514D" w:rsidRDefault="0099587B" w:rsidP="008B00B7">
      <w:pPr>
        <w:autoSpaceDE w:val="0"/>
        <w:autoSpaceDN w:val="0"/>
        <w:adjustRightInd w:val="0"/>
        <w:spacing w:after="180" w:line="276" w:lineRule="auto"/>
        <w:jc w:val="both"/>
        <w:rPr>
          <w:rFonts w:ascii="Verdana" w:eastAsia="MS Mincho" w:hAnsi="Verdana" w:cs="Arial"/>
          <w:b/>
          <w:bCs/>
          <w:i/>
          <w:color w:val="000000"/>
          <w:sz w:val="22"/>
          <w:szCs w:val="22"/>
          <w:lang w:eastAsia="ja-JP"/>
        </w:rPr>
      </w:pPr>
    </w:p>
    <w:p w:rsidR="0099587B" w:rsidRPr="00C4514D" w:rsidRDefault="0099587B" w:rsidP="008B00B7">
      <w:pPr>
        <w:autoSpaceDE w:val="0"/>
        <w:autoSpaceDN w:val="0"/>
        <w:adjustRightInd w:val="0"/>
        <w:spacing w:after="180" w:line="276" w:lineRule="auto"/>
        <w:jc w:val="both"/>
        <w:rPr>
          <w:rFonts w:ascii="Verdana" w:eastAsia="Cambria" w:hAnsi="Verdana" w:cs="Arial"/>
          <w:i/>
          <w:iCs/>
          <w:sz w:val="22"/>
          <w:szCs w:val="22"/>
          <w:lang w:eastAsia="en-US"/>
        </w:rPr>
      </w:pPr>
      <w:r w:rsidRPr="00C4514D">
        <w:rPr>
          <w:rFonts w:ascii="Verdana" w:eastAsia="MS Mincho" w:hAnsi="Verdana" w:cs="Arial"/>
          <w:b/>
          <w:bCs/>
          <w:i/>
          <w:color w:val="000000"/>
          <w:sz w:val="22"/>
          <w:szCs w:val="22"/>
          <w:lang w:eastAsia="ja-JP"/>
        </w:rPr>
        <w:t>Reduction and recovery of payments from beneficiaries</w:t>
      </w:r>
    </w:p>
    <w:p w:rsidR="0099587B" w:rsidRPr="00C4514D" w:rsidRDefault="0099587B" w:rsidP="008B00B7">
      <w:pPr>
        <w:tabs>
          <w:tab w:val="left" w:pos="0"/>
          <w:tab w:val="left" w:pos="1080"/>
        </w:tabs>
        <w:autoSpaceDE w:val="0"/>
        <w:autoSpaceDN w:val="0"/>
        <w:adjustRightInd w:val="0"/>
        <w:spacing w:after="180" w:line="276" w:lineRule="auto"/>
        <w:jc w:val="both"/>
        <w:rPr>
          <w:rFonts w:ascii="Verdana" w:eastAsia="MS Mincho" w:hAnsi="Verdana" w:cs="Arial"/>
          <w:color w:val="000000"/>
          <w:sz w:val="22"/>
          <w:szCs w:val="22"/>
          <w:lang w:eastAsia="ja-JP"/>
        </w:rPr>
      </w:pPr>
      <w:r w:rsidRPr="00C4514D">
        <w:rPr>
          <w:rFonts w:ascii="Verdana" w:eastAsia="MS Mincho" w:hAnsi="Verdana" w:cs="Arial"/>
          <w:color w:val="000000"/>
          <w:sz w:val="22"/>
          <w:szCs w:val="22"/>
          <w:lang w:eastAsia="ja-JP"/>
        </w:rPr>
        <w:t xml:space="preserve">The managing authority shall ensure that any amount paid as a result of an irregularity is recovered from the project via the lead partner. Project partners shall repay the lead partner any amounts unduly paid. The managing authority shall also recover funds from the lead partner (and the lead partner from the project partner) following a termination of the subsidy contract in full or in part based on the conditions defined in the subsidy contract. </w:t>
      </w:r>
    </w:p>
    <w:p w:rsidR="0099587B" w:rsidRPr="00C4514D" w:rsidRDefault="0099587B" w:rsidP="008B00B7">
      <w:pPr>
        <w:tabs>
          <w:tab w:val="left" w:pos="0"/>
          <w:tab w:val="left" w:pos="1080"/>
        </w:tabs>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Based on Article 27 (3) of Regulation (EU) No 1299/2013 [ETC], if the lead beneficiary does not succeed in securing repayment from other beneficiaries or if the managing authority does not succeed in securing repayment from the lead or sole beneficiary, the Member State or third country on whose territory the beneficiary concerned is located or, in the case of an EGTC, is registered shall reimburse the managing authority any amounts unduly paid to that beneficiary. The managing authority shall be responsible for reimbursing the amounts concerned to the general budget of the Union, in accordance with the apportionment of liabilities among the participating Member States, Norway and Switzerland as laid down in the cooperation programme.</w:t>
      </w:r>
    </w:p>
    <w:p w:rsidR="0099587B" w:rsidRPr="00C4514D" w:rsidRDefault="0099587B" w:rsidP="008B00B7">
      <w:pPr>
        <w:tabs>
          <w:tab w:val="left" w:pos="0"/>
          <w:tab w:val="left" w:pos="1080"/>
        </w:tabs>
        <w:autoSpaceDE w:val="0"/>
        <w:autoSpaceDN w:val="0"/>
        <w:adjustRightInd w:val="0"/>
        <w:spacing w:after="180" w:line="276" w:lineRule="auto"/>
        <w:jc w:val="both"/>
        <w:rPr>
          <w:rFonts w:ascii="Verdana" w:eastAsia="MS Mincho" w:hAnsi="Verdana" w:cs="Arial"/>
          <w:color w:val="000000"/>
          <w:sz w:val="22"/>
          <w:szCs w:val="22"/>
          <w:lang w:eastAsia="ja-JP"/>
        </w:rPr>
      </w:pPr>
      <w:r w:rsidRPr="00C4514D">
        <w:rPr>
          <w:rFonts w:ascii="Verdana" w:eastAsia="MS Mincho" w:hAnsi="Verdana" w:cs="Arial"/>
          <w:color w:val="000000"/>
          <w:sz w:val="22"/>
          <w:szCs w:val="22"/>
          <w:lang w:eastAsia="ja-JP"/>
        </w:rPr>
        <w:t>The managing authority shall be responsible for reimbursing the amounts concerned to the general budget of the Union in accordance with the apportionment of liabilities among the participating Member States as laid down in the cooperation programme and in Article 27 (3) of Regulation (EU)  1299/2013 [ETC].</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In the case of irregularities discovered, for example, by the Court of Auditors or by the EC, which result in certain expenditures being considered ineligible and in a financial correction being the subject of a EC decision on the basis of Articles 143 to 147 of Regulation (EU) 1303/2013 [CPR], the financial consequences for the EU-MS are laid down in the section “liabilities and irregularities” below. Any related exchange of correspondence between the EC and an EU-MS will be copied to the managing authority/joint secretariat. The latter will inform the managing authority/certifying authority and the audit authority/group of auditors where relevant.</w:t>
      </w:r>
    </w:p>
    <w:p w:rsidR="002174E0" w:rsidRPr="00C4514D" w:rsidRDefault="002174E0" w:rsidP="008B00B7">
      <w:pPr>
        <w:autoSpaceDE w:val="0"/>
        <w:autoSpaceDN w:val="0"/>
        <w:adjustRightInd w:val="0"/>
        <w:spacing w:after="180" w:line="276" w:lineRule="auto"/>
        <w:jc w:val="both"/>
        <w:rPr>
          <w:rFonts w:ascii="Verdana" w:eastAsia="MS Mincho" w:hAnsi="Verdana" w:cs="Arial"/>
          <w:b/>
          <w:bCs/>
          <w:i/>
          <w:color w:val="000000"/>
          <w:sz w:val="22"/>
          <w:szCs w:val="22"/>
          <w:lang w:eastAsia="ja-JP"/>
        </w:rPr>
      </w:pPr>
    </w:p>
    <w:p w:rsidR="0099587B" w:rsidRPr="00C4514D" w:rsidRDefault="0099587B" w:rsidP="008B00B7">
      <w:pPr>
        <w:autoSpaceDE w:val="0"/>
        <w:autoSpaceDN w:val="0"/>
        <w:adjustRightInd w:val="0"/>
        <w:spacing w:after="180" w:line="276" w:lineRule="auto"/>
        <w:jc w:val="both"/>
        <w:rPr>
          <w:rFonts w:ascii="Verdana" w:eastAsia="MS Mincho" w:hAnsi="Verdana" w:cs="Arial"/>
          <w:color w:val="000000"/>
          <w:sz w:val="22"/>
          <w:szCs w:val="22"/>
          <w:lang w:eastAsia="ja-JP"/>
        </w:rPr>
      </w:pPr>
      <w:r w:rsidRPr="00C4514D">
        <w:rPr>
          <w:rFonts w:ascii="Verdana" w:eastAsia="MS Mincho" w:hAnsi="Verdana" w:cs="Arial"/>
          <w:b/>
          <w:bCs/>
          <w:i/>
          <w:color w:val="000000"/>
          <w:sz w:val="22"/>
          <w:szCs w:val="22"/>
          <w:lang w:eastAsia="ja-JP"/>
        </w:rPr>
        <w:t>Liabilities and irregularities</w:t>
      </w:r>
    </w:p>
    <w:p w:rsidR="0099587B" w:rsidRPr="00C4514D" w:rsidRDefault="0099587B" w:rsidP="008B00B7">
      <w:pPr>
        <w:spacing w:after="180" w:line="276" w:lineRule="auto"/>
        <w:jc w:val="both"/>
        <w:rPr>
          <w:rFonts w:ascii="Verdana" w:hAnsi="Verdana" w:cs="Arial"/>
          <w:color w:val="000000"/>
          <w:sz w:val="22"/>
          <w:szCs w:val="22"/>
        </w:rPr>
      </w:pPr>
      <w:r w:rsidRPr="00C4514D">
        <w:rPr>
          <w:rFonts w:ascii="Verdana" w:hAnsi="Verdana" w:cs="Arial"/>
          <w:bCs/>
          <w:color w:val="000000"/>
          <w:sz w:val="22"/>
          <w:szCs w:val="22"/>
        </w:rPr>
        <w:t>In compliance with Article 27 of Regulation (EU) No 1299/2013 [ETC], the MS shall bear liability in connection with the use of the Programme ERDF funding as follows:</w:t>
      </w:r>
    </w:p>
    <w:p w:rsidR="0099587B" w:rsidRPr="00C4514D" w:rsidRDefault="0099587B" w:rsidP="008D5F4A">
      <w:pPr>
        <w:spacing w:after="180" w:line="276" w:lineRule="auto"/>
        <w:ind w:left="714" w:hanging="357"/>
        <w:rPr>
          <w:rFonts w:ascii="Verdana" w:hAnsi="Verdana" w:cs="Arial"/>
          <w:bCs/>
          <w:color w:val="000000"/>
          <w:sz w:val="22"/>
          <w:szCs w:val="22"/>
        </w:rPr>
      </w:pPr>
      <w:r w:rsidRPr="00C4514D">
        <w:rPr>
          <w:rFonts w:ascii="Verdana" w:hAnsi="Verdana" w:cs="Arial"/>
          <w:bCs/>
          <w:color w:val="000000"/>
          <w:sz w:val="22"/>
          <w:szCs w:val="22"/>
        </w:rPr>
        <w:t>a.</w:t>
      </w:r>
      <w:r w:rsidRPr="00C4514D">
        <w:rPr>
          <w:rFonts w:ascii="Verdana" w:hAnsi="Verdana" w:cs="Arial"/>
          <w:bCs/>
          <w:color w:val="000000"/>
          <w:sz w:val="22"/>
          <w:szCs w:val="22"/>
        </w:rPr>
        <w:tab/>
        <w:t>Each MS and PS bears the possible financial consequences of irregularities committed by the partners located on its national territory in compliance with Article 27 (3) of Regulation (EU) No 1299/2013 [ETC].</w:t>
      </w:r>
    </w:p>
    <w:p w:rsidR="0099587B" w:rsidRPr="00C4514D" w:rsidRDefault="0099587B" w:rsidP="008D5F4A">
      <w:pPr>
        <w:spacing w:after="180" w:line="276" w:lineRule="auto"/>
        <w:ind w:left="714" w:hanging="357"/>
        <w:rPr>
          <w:rFonts w:ascii="Verdana" w:hAnsi="Verdana" w:cs="Arial"/>
          <w:bCs/>
          <w:color w:val="000000"/>
          <w:sz w:val="22"/>
          <w:szCs w:val="22"/>
        </w:rPr>
      </w:pPr>
      <w:r w:rsidRPr="00C4514D">
        <w:rPr>
          <w:rFonts w:ascii="Verdana" w:hAnsi="Verdana" w:cs="Arial"/>
          <w:bCs/>
          <w:color w:val="000000"/>
          <w:sz w:val="22"/>
          <w:szCs w:val="22"/>
        </w:rPr>
        <w:t>b.</w:t>
      </w:r>
      <w:r w:rsidRPr="00C4514D">
        <w:rPr>
          <w:rFonts w:ascii="Verdana" w:hAnsi="Verdana" w:cs="Arial"/>
          <w:bCs/>
          <w:color w:val="000000"/>
          <w:sz w:val="22"/>
          <w:szCs w:val="22"/>
        </w:rPr>
        <w:tab/>
        <w:t>In case of a systemic irregularity the MS shall jointly bear the financial consequences, whereby each MS shall be responsible in proportion to the ERDF contribution of the respective national PP involved.</w:t>
      </w:r>
    </w:p>
    <w:p w:rsidR="0099587B" w:rsidRPr="00C4514D" w:rsidRDefault="0099587B" w:rsidP="008D5F4A">
      <w:pPr>
        <w:autoSpaceDE w:val="0"/>
        <w:autoSpaceDN w:val="0"/>
        <w:adjustRightInd w:val="0"/>
        <w:spacing w:after="180" w:line="276" w:lineRule="auto"/>
        <w:ind w:left="714" w:hanging="357"/>
        <w:jc w:val="both"/>
        <w:rPr>
          <w:rFonts w:ascii="Verdana" w:eastAsia="MS Mincho" w:hAnsi="Verdana" w:cs="Arial"/>
          <w:sz w:val="22"/>
          <w:szCs w:val="22"/>
          <w:lang w:eastAsia="ja-JP"/>
        </w:rPr>
      </w:pPr>
      <w:r w:rsidRPr="00C4514D">
        <w:rPr>
          <w:rFonts w:ascii="Verdana" w:hAnsi="Verdana" w:cs="Arial"/>
          <w:bCs/>
          <w:color w:val="000000"/>
          <w:sz w:val="22"/>
          <w:szCs w:val="22"/>
        </w:rPr>
        <w:t>c.</w:t>
      </w:r>
      <w:r w:rsidRPr="00C4514D">
        <w:rPr>
          <w:rFonts w:ascii="Verdana" w:hAnsi="Verdana" w:cs="Arial"/>
          <w:bCs/>
          <w:color w:val="000000"/>
          <w:sz w:val="22"/>
          <w:szCs w:val="22"/>
        </w:rPr>
        <w:tab/>
        <w:t xml:space="preserve">For Technical Assistance and expenditure incurred by the MA for the implementation of actions under the investment priority, the liability shall be borne by the MA and/or the CA for </w:t>
      </w:r>
      <w:r w:rsidR="005E7D3F" w:rsidRPr="00C4514D">
        <w:rPr>
          <w:rFonts w:ascii="Verdana" w:hAnsi="Verdana" w:cs="Arial"/>
          <w:bCs/>
          <w:color w:val="000000"/>
          <w:sz w:val="22"/>
          <w:szCs w:val="22"/>
        </w:rPr>
        <w:t>any</w:t>
      </w:r>
      <w:r w:rsidRPr="00C4514D">
        <w:rPr>
          <w:rFonts w:ascii="Verdana" w:hAnsi="Verdana" w:cs="Arial"/>
          <w:bCs/>
          <w:color w:val="000000"/>
          <w:sz w:val="22"/>
          <w:szCs w:val="22"/>
        </w:rPr>
        <w:t xml:space="preserve"> irregularities.</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If the managing authority/joint secretariat, the certifying authority, any EU-MS or PS becomes aware of irregularities, it shall without any delay inform the liable EU-MS or PS or the managing authority/joint secretariat. The latter will ensure the transmission of information to the certifying authority and AA/group of auditors, where relevant. </w:t>
      </w:r>
    </w:p>
    <w:p w:rsidR="0099587B" w:rsidRPr="00C4514D" w:rsidRDefault="0099587B" w:rsidP="008B00B7">
      <w:pPr>
        <w:autoSpaceDE w:val="0"/>
        <w:autoSpaceDN w:val="0"/>
        <w:adjustRightInd w:val="0"/>
        <w:spacing w:after="180" w:line="276" w:lineRule="auto"/>
        <w:jc w:val="both"/>
        <w:rPr>
          <w:rFonts w:ascii="Verdana" w:eastAsia="MS Mincho" w:hAnsi="Verdana" w:cs="Arial"/>
          <w:sz w:val="22"/>
          <w:szCs w:val="22"/>
          <w:lang w:eastAsia="ja-JP"/>
        </w:rPr>
      </w:pPr>
      <w:r w:rsidRPr="00C4514D">
        <w:rPr>
          <w:rFonts w:ascii="Verdana" w:eastAsia="MS Mincho" w:hAnsi="Verdana" w:cs="Arial"/>
          <w:sz w:val="22"/>
          <w:szCs w:val="22"/>
          <w:lang w:eastAsia="ja-JP"/>
        </w:rPr>
        <w:t xml:space="preserve">In compliance with Article 122 of Regulation (EU) 1303/2013 [CPR], each EU-MS is responsible for reporting irregularities committed by beneficiaries located on its territory to the EC and at the same time to the managing authority/joint secretariat. Each EU-MS shall keep the EC as well as the managing authority/joint secretariat informed of any progress of related administrative and legal proceedings. The managing authority/joint secretariat will ensure the transmission of information to the certifying authority and audit authority. </w:t>
      </w:r>
    </w:p>
    <w:p w:rsidR="0099587B" w:rsidRPr="00C4514D" w:rsidRDefault="0099587B" w:rsidP="008B00B7">
      <w:pPr>
        <w:autoSpaceDE w:val="0"/>
        <w:autoSpaceDN w:val="0"/>
        <w:adjustRightInd w:val="0"/>
        <w:spacing w:after="180" w:line="276" w:lineRule="auto"/>
        <w:jc w:val="both"/>
        <w:rPr>
          <w:rFonts w:ascii="Verdana" w:eastAsia="MS Mincho" w:hAnsi="Verdana" w:cs="Arial"/>
          <w:color w:val="000000"/>
          <w:sz w:val="22"/>
          <w:szCs w:val="22"/>
          <w:lang w:eastAsia="ja-JP"/>
        </w:rPr>
      </w:pPr>
      <w:r w:rsidRPr="00C4514D">
        <w:rPr>
          <w:rFonts w:ascii="Verdana" w:eastAsia="MS Mincho" w:hAnsi="Verdana" w:cs="Arial"/>
          <w:sz w:val="22"/>
          <w:szCs w:val="22"/>
          <w:lang w:eastAsia="ja-JP"/>
        </w:rPr>
        <w:t xml:space="preserve">If a Member State does not comply with its duties arising from these provisions, the managing authority is entitled to suspend payments to all project partners located on the territory of this Member State. </w:t>
      </w:r>
    </w:p>
    <w:p w:rsidR="0099587B" w:rsidRPr="00C4514D" w:rsidRDefault="0099587B" w:rsidP="008B00B7">
      <w:pPr>
        <w:autoSpaceDE w:val="0"/>
        <w:autoSpaceDN w:val="0"/>
        <w:adjustRightInd w:val="0"/>
        <w:spacing w:after="180" w:line="276" w:lineRule="auto"/>
        <w:jc w:val="both"/>
        <w:rPr>
          <w:rFonts w:ascii="Verdana" w:eastAsia="Cambria" w:hAnsi="Verdana" w:cs="Arial"/>
          <w:b/>
          <w:bCs/>
          <w:sz w:val="22"/>
          <w:szCs w:val="22"/>
          <w:lang w:eastAsia="en-US"/>
        </w:rPr>
      </w:pPr>
    </w:p>
    <w:p w:rsidR="0099587B" w:rsidRPr="00627420" w:rsidRDefault="007B5752" w:rsidP="00627420">
      <w:pPr>
        <w:pStyle w:val="2"/>
        <w:spacing w:after="180" w:line="276" w:lineRule="auto"/>
        <w:rPr>
          <w:lang w:eastAsia="ar-SA"/>
        </w:rPr>
      </w:pPr>
      <w:bookmarkStart w:id="45" w:name="_Toc384648462"/>
      <w:r>
        <w:rPr>
          <w:lang w:eastAsia="ar-SA"/>
        </w:rPr>
        <w:t>5.1.5.</w:t>
      </w:r>
      <w:r w:rsidR="0099587B" w:rsidRPr="00627420">
        <w:rPr>
          <w:lang w:eastAsia="ar-SA"/>
        </w:rPr>
        <w:tab/>
        <w:t>Use of the Euro (2000 words allowed 511 used)</w:t>
      </w:r>
      <w:bookmarkEnd w:id="45"/>
    </w:p>
    <w:p w:rsidR="0099587B" w:rsidRPr="00C4514D" w:rsidRDefault="0099587B" w:rsidP="008B00B7">
      <w:pPr>
        <w:autoSpaceDE w:val="0"/>
        <w:autoSpaceDN w:val="0"/>
        <w:adjustRightInd w:val="0"/>
        <w:spacing w:after="180" w:line="276" w:lineRule="auto"/>
        <w:jc w:val="both"/>
        <w:rPr>
          <w:rFonts w:ascii="Verdana" w:eastAsia="Cambria" w:hAnsi="Verdana"/>
          <w:sz w:val="22"/>
          <w:szCs w:val="22"/>
          <w:lang w:eastAsia="ja-JP"/>
        </w:rPr>
      </w:pPr>
      <w:r w:rsidRPr="00C4514D">
        <w:rPr>
          <w:rFonts w:ascii="Verdana" w:eastAsia="MS Mincho" w:hAnsi="Verdana" w:cs="Arial"/>
          <w:sz w:val="22"/>
          <w:szCs w:val="22"/>
          <w:lang w:eastAsia="ja-JP"/>
        </w:rPr>
        <w:t>In accordance with Article 28 of Regulation (EU) No 1299/2013 [ETC], and by way of derogation from Article 133 of Regulation (EU) No 1303/2013 [CPR], expenditure incurred in a currency other than the euro shall be converted into euro by the beneficiaries using the monthly accounting exchange rate of the Commission in the month during which the expenditure was incurred.  The conversion shall be verified by the managing authority or the controller in the Member/Partner State where the beneficiary is located.</w:t>
      </w:r>
    </w:p>
    <w:bookmarkEnd w:id="36"/>
    <w:bookmarkEnd w:id="37"/>
    <w:bookmarkEnd w:id="38"/>
    <w:p w:rsidR="008D5F4A" w:rsidRPr="00307879" w:rsidRDefault="008D5F4A" w:rsidP="00307879"/>
    <w:p w:rsidR="0099587B" w:rsidRPr="004F5F2B" w:rsidRDefault="007B5752" w:rsidP="008B00B7">
      <w:pPr>
        <w:pStyle w:val="2"/>
        <w:spacing w:after="180" w:line="276" w:lineRule="auto"/>
        <w:rPr>
          <w:lang w:eastAsia="ar-SA"/>
        </w:rPr>
      </w:pPr>
      <w:bookmarkStart w:id="46" w:name="_Toc384648463"/>
      <w:r>
        <w:rPr>
          <w:lang w:eastAsia="ar-SA"/>
        </w:rPr>
        <w:t>5.2.</w:t>
      </w:r>
      <w:r>
        <w:rPr>
          <w:lang w:eastAsia="ar-SA"/>
        </w:rPr>
        <w:tab/>
      </w:r>
      <w:r w:rsidR="0099587B" w:rsidRPr="004F5F2B">
        <w:rPr>
          <w:lang w:eastAsia="ar-SA"/>
        </w:rPr>
        <w:t>Involvement of partners</w:t>
      </w:r>
      <w:bookmarkEnd w:id="46"/>
      <w:r w:rsidR="0099587B" w:rsidRPr="004F5F2B">
        <w:rPr>
          <w:lang w:eastAsia="ar-SA"/>
        </w:rPr>
        <w:t xml:space="preserve"> </w:t>
      </w:r>
    </w:p>
    <w:p w:rsidR="00361437" w:rsidRPr="00307879" w:rsidRDefault="00361437" w:rsidP="00307879">
      <w:pPr>
        <w:rPr>
          <w:rFonts w:eastAsia="Arial"/>
        </w:rPr>
      </w:pPr>
      <w:bookmarkStart w:id="47" w:name="_Toc381007269"/>
      <w:bookmarkStart w:id="48" w:name="_Toc381008688"/>
    </w:p>
    <w:p w:rsidR="0099587B" w:rsidRPr="00254FD2" w:rsidRDefault="0099587B" w:rsidP="00254FD2">
      <w:pPr>
        <w:pStyle w:val="2"/>
        <w:spacing w:after="180" w:line="276" w:lineRule="auto"/>
        <w:rPr>
          <w:lang w:eastAsia="ar-SA"/>
        </w:rPr>
      </w:pPr>
      <w:bookmarkStart w:id="49" w:name="_Toc384648464"/>
      <w:r w:rsidRPr="00254FD2">
        <w:rPr>
          <w:lang w:eastAsia="ar-SA"/>
        </w:rPr>
        <w:t>5.2.1.</w:t>
      </w:r>
      <w:r w:rsidR="007B5752">
        <w:rPr>
          <w:lang w:eastAsia="ar-SA"/>
        </w:rPr>
        <w:tab/>
      </w:r>
      <w:r w:rsidRPr="00254FD2">
        <w:rPr>
          <w:lang w:eastAsia="ar-SA"/>
        </w:rPr>
        <w:t>Role of the relevant partners in the preparation and implementation of the cooperation programme</w:t>
      </w:r>
      <w:bookmarkEnd w:id="47"/>
      <w:bookmarkEnd w:id="48"/>
      <w:bookmarkEnd w:id="49"/>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Article 5 of the draft Common Provisions Regulation provides for a Code of Conduct on Partnership which will lay down the framework within which the Member States shall pursue the implementation of the partnership principle.</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The Code of Conduct states that Member States should apply the partnership principle in a transparent manner in particular when identifying the relevant partners and their access to information.</w:t>
      </w:r>
    </w:p>
    <w:p w:rsidR="00361437" w:rsidRDefault="00361437" w:rsidP="008B00B7">
      <w:pPr>
        <w:autoSpaceDE w:val="0"/>
        <w:autoSpaceDN w:val="0"/>
        <w:adjustRightInd w:val="0"/>
        <w:spacing w:after="180" w:line="276" w:lineRule="auto"/>
        <w:rPr>
          <w:rFonts w:ascii="Verdana" w:hAnsi="Verdana" w:cs="Arial"/>
          <w:b/>
          <w:color w:val="000000"/>
          <w:sz w:val="22"/>
          <w:szCs w:val="22"/>
        </w:rPr>
      </w:pPr>
    </w:p>
    <w:p w:rsidR="0099587B" w:rsidRPr="00C4514D" w:rsidRDefault="0099587B" w:rsidP="008B00B7">
      <w:pPr>
        <w:autoSpaceDE w:val="0"/>
        <w:autoSpaceDN w:val="0"/>
        <w:adjustRightInd w:val="0"/>
        <w:spacing w:after="180" w:line="276" w:lineRule="auto"/>
        <w:rPr>
          <w:rFonts w:ascii="Verdana" w:hAnsi="Verdana" w:cs="Arial"/>
          <w:b/>
          <w:color w:val="000000"/>
          <w:sz w:val="22"/>
          <w:szCs w:val="22"/>
        </w:rPr>
      </w:pPr>
      <w:r w:rsidRPr="00C4514D">
        <w:rPr>
          <w:rFonts w:ascii="Verdana" w:hAnsi="Verdana" w:cs="Arial"/>
          <w:b/>
          <w:color w:val="000000"/>
          <w:sz w:val="22"/>
          <w:szCs w:val="22"/>
        </w:rPr>
        <w:t>Identifying the relevant partners</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The URBACT programme has a wide geographical base covering all Member States and two partner states.  This wide coverage requires a coordinated approach to the partnership principle which should operate on several levels:</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u w:val="single"/>
        </w:rPr>
        <w:t>Programme Level</w:t>
      </w:r>
      <w:r w:rsidRPr="00C4514D">
        <w:rPr>
          <w:rFonts w:ascii="Verdana" w:hAnsi="Verdana" w:cs="Arial"/>
          <w:color w:val="000000"/>
          <w:sz w:val="22"/>
          <w:szCs w:val="22"/>
        </w:rPr>
        <w:t xml:space="preserve"> – competent National Authorities / other relevant EU level bodies including networks, associations / EU bodies responsible for the application of horizontal principles</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u w:val="single"/>
        </w:rPr>
        <w:t>National Level</w:t>
      </w:r>
      <w:r w:rsidRPr="00C4514D">
        <w:rPr>
          <w:rFonts w:ascii="Verdana" w:hAnsi="Verdana" w:cs="Arial"/>
          <w:color w:val="000000"/>
          <w:sz w:val="22"/>
          <w:szCs w:val="22"/>
        </w:rPr>
        <w:t xml:space="preserve"> – relevant national authorities with competence in sustainable urban development / national representatives of universities, research centres / nationally recognised social partner’ organisations / nationally recognised business associations / national bodies responsible for the application of horizontal principles</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u w:val="single"/>
        </w:rPr>
        <w:t>Sub-National Level</w:t>
      </w:r>
      <w:r w:rsidRPr="00C4514D">
        <w:rPr>
          <w:rFonts w:ascii="Verdana" w:hAnsi="Verdana" w:cs="Arial"/>
          <w:color w:val="000000"/>
          <w:sz w:val="22"/>
          <w:szCs w:val="22"/>
        </w:rPr>
        <w:t xml:space="preserve"> – regional authorities / local authorities / city networks and associations / bodies working in the field of sustainable urban development</w:t>
      </w:r>
    </w:p>
    <w:p w:rsidR="0099587B" w:rsidRPr="00C4514D" w:rsidRDefault="0099587B" w:rsidP="008B00B7">
      <w:pPr>
        <w:autoSpaceDE w:val="0"/>
        <w:autoSpaceDN w:val="0"/>
        <w:adjustRightInd w:val="0"/>
        <w:spacing w:after="180" w:line="276" w:lineRule="auto"/>
        <w:rPr>
          <w:rFonts w:ascii="Verdana" w:hAnsi="Verdana" w:cs="Arial"/>
          <w:b/>
          <w:color w:val="000000"/>
          <w:sz w:val="22"/>
          <w:szCs w:val="22"/>
        </w:rPr>
      </w:pPr>
    </w:p>
    <w:p w:rsidR="0099587B" w:rsidRPr="00C4514D" w:rsidRDefault="0099587B" w:rsidP="008B00B7">
      <w:pPr>
        <w:autoSpaceDE w:val="0"/>
        <w:autoSpaceDN w:val="0"/>
        <w:adjustRightInd w:val="0"/>
        <w:spacing w:after="180" w:line="276" w:lineRule="auto"/>
        <w:rPr>
          <w:rFonts w:ascii="Verdana" w:hAnsi="Verdana" w:cs="Arial"/>
          <w:b/>
          <w:color w:val="000000"/>
          <w:sz w:val="22"/>
          <w:szCs w:val="22"/>
        </w:rPr>
      </w:pPr>
      <w:r w:rsidRPr="00C4514D">
        <w:rPr>
          <w:rFonts w:ascii="Verdana" w:hAnsi="Verdana" w:cs="Arial"/>
          <w:b/>
          <w:color w:val="000000"/>
          <w:sz w:val="22"/>
          <w:szCs w:val="22"/>
        </w:rPr>
        <w:t>Preparation of the Operation Programme</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 xml:space="preserve">The ECCP requires Member States to consult partners on the process and timetable and keep them fully informed of the arrangements concerning the preparation of the Operational Programme (OP).  </w:t>
      </w:r>
    </w:p>
    <w:p w:rsidR="000265F1" w:rsidRPr="00C4514D" w:rsidRDefault="000265F1" w:rsidP="008B00B7">
      <w:pPr>
        <w:autoSpaceDE w:val="0"/>
        <w:autoSpaceDN w:val="0"/>
        <w:adjustRightInd w:val="0"/>
        <w:spacing w:after="180" w:line="276" w:lineRule="auto"/>
        <w:jc w:val="both"/>
        <w:rPr>
          <w:rFonts w:ascii="Verdana" w:hAnsi="Verdana" w:cs="Arial"/>
          <w:color w:val="000000"/>
          <w:sz w:val="22"/>
          <w:szCs w:val="22"/>
          <w:u w:val="single"/>
        </w:rPr>
      </w:pPr>
    </w:p>
    <w:p w:rsidR="00361437" w:rsidRDefault="00361437">
      <w:pPr>
        <w:rPr>
          <w:rFonts w:ascii="Verdana" w:hAnsi="Verdana" w:cs="Arial"/>
          <w:color w:val="000000"/>
          <w:sz w:val="22"/>
          <w:szCs w:val="22"/>
          <w:u w:val="single"/>
        </w:rPr>
      </w:pPr>
      <w:r>
        <w:rPr>
          <w:rFonts w:ascii="Verdana" w:hAnsi="Verdana" w:cs="Arial"/>
          <w:color w:val="000000"/>
          <w:sz w:val="22"/>
          <w:szCs w:val="22"/>
          <w:u w:val="single"/>
        </w:rPr>
        <w:br w:type="page"/>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u w:val="single"/>
        </w:rPr>
      </w:pPr>
      <w:r w:rsidRPr="00C4514D">
        <w:rPr>
          <w:rFonts w:ascii="Verdana" w:hAnsi="Verdana" w:cs="Arial"/>
          <w:color w:val="000000"/>
          <w:sz w:val="22"/>
          <w:szCs w:val="22"/>
          <w:u w:val="single"/>
        </w:rPr>
        <w:t>The Joint Programme Working Group</w:t>
      </w:r>
    </w:p>
    <w:p w:rsidR="0099587B" w:rsidRPr="00C4514D" w:rsidRDefault="0099587B" w:rsidP="0036143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The URBACT programme has done this via the Joint Programme Working Group (JPWG).  The JPWG was made up of willing Member and Partner States who will be informed regularly during the JPWG meetings.</w:t>
      </w:r>
    </w:p>
    <w:p w:rsidR="0099587B" w:rsidRPr="00C4514D" w:rsidRDefault="0099587B" w:rsidP="0036143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u w:val="single"/>
        </w:rPr>
        <w:t>JPWG Members</w:t>
      </w:r>
      <w:r w:rsidRPr="00C4514D">
        <w:rPr>
          <w:rFonts w:ascii="Verdana" w:hAnsi="Verdana" w:cs="Arial"/>
          <w:color w:val="000000"/>
          <w:sz w:val="22"/>
          <w:szCs w:val="22"/>
        </w:rPr>
        <w:t xml:space="preserve"> are national authorities for the most part, the group can also invite cities and other networks and associations to attend when considered relevant.  The group met regularly and documents we</w:t>
      </w:r>
      <w:r w:rsidR="00F201D4" w:rsidRPr="00C4514D">
        <w:rPr>
          <w:rFonts w:ascii="Verdana" w:hAnsi="Verdana" w:cs="Arial"/>
          <w:color w:val="000000"/>
          <w:sz w:val="22"/>
          <w:szCs w:val="22"/>
        </w:rPr>
        <w:t>re</w:t>
      </w:r>
      <w:r w:rsidRPr="00C4514D">
        <w:rPr>
          <w:rFonts w:ascii="Verdana" w:hAnsi="Verdana" w:cs="Arial"/>
          <w:color w:val="000000"/>
          <w:sz w:val="22"/>
          <w:szCs w:val="22"/>
        </w:rPr>
        <w:t xml:space="preserve"> prepared between meetings and placed on the shared work space.  JPWG members we</w:t>
      </w:r>
      <w:r w:rsidR="00F201D4" w:rsidRPr="00C4514D">
        <w:rPr>
          <w:rFonts w:ascii="Verdana" w:hAnsi="Verdana" w:cs="Arial"/>
          <w:color w:val="000000"/>
          <w:sz w:val="22"/>
          <w:szCs w:val="22"/>
        </w:rPr>
        <w:t>re</w:t>
      </w:r>
      <w:r w:rsidRPr="00C4514D">
        <w:rPr>
          <w:rFonts w:ascii="Verdana" w:hAnsi="Verdana" w:cs="Arial"/>
          <w:color w:val="000000"/>
          <w:sz w:val="22"/>
          <w:szCs w:val="22"/>
        </w:rPr>
        <w:t xml:space="preserve"> asked to actively participate in the group and feed in results from consultations and questionnaires at national, regional and local level in their own countries.</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All documents we</w:t>
      </w:r>
      <w:r w:rsidR="00F201D4" w:rsidRPr="00C4514D">
        <w:rPr>
          <w:rFonts w:ascii="Verdana" w:hAnsi="Verdana" w:cs="Arial"/>
          <w:color w:val="000000"/>
          <w:sz w:val="22"/>
          <w:szCs w:val="22"/>
        </w:rPr>
        <w:t>re</w:t>
      </w:r>
      <w:r w:rsidRPr="00C4514D">
        <w:rPr>
          <w:rFonts w:ascii="Verdana" w:hAnsi="Verdana" w:cs="Arial"/>
          <w:color w:val="000000"/>
          <w:sz w:val="22"/>
          <w:szCs w:val="22"/>
        </w:rPr>
        <w:t xml:space="preserve"> systematically sent to all current Member and Partner States active in the URBACT programme.</w:t>
      </w:r>
    </w:p>
    <w:p w:rsidR="00361437" w:rsidRDefault="00361437" w:rsidP="008B00B7">
      <w:pPr>
        <w:autoSpaceDE w:val="0"/>
        <w:autoSpaceDN w:val="0"/>
        <w:adjustRightInd w:val="0"/>
        <w:spacing w:after="180" w:line="276" w:lineRule="auto"/>
        <w:jc w:val="both"/>
        <w:rPr>
          <w:rFonts w:ascii="Verdana" w:hAnsi="Verdana" w:cs="Arial"/>
          <w:color w:val="000000"/>
          <w:sz w:val="22"/>
          <w:szCs w:val="22"/>
          <w:u w:val="single"/>
        </w:rPr>
      </w:pP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u w:val="single"/>
        </w:rPr>
      </w:pPr>
      <w:r w:rsidRPr="00C4514D">
        <w:rPr>
          <w:rFonts w:ascii="Verdana" w:hAnsi="Verdana" w:cs="Arial"/>
          <w:color w:val="000000"/>
          <w:sz w:val="22"/>
          <w:szCs w:val="22"/>
          <w:u w:val="single"/>
        </w:rPr>
        <w:t>A dedicated web-page</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 xml:space="preserve">In addition the Managing Authority set up a </w:t>
      </w:r>
      <w:r w:rsidRPr="00C4514D">
        <w:rPr>
          <w:rFonts w:ascii="Verdana" w:hAnsi="Verdana" w:cs="Arial"/>
          <w:color w:val="000000"/>
          <w:sz w:val="22"/>
          <w:szCs w:val="22"/>
          <w:u w:val="single"/>
        </w:rPr>
        <w:t>specific page on the URBACT website</w:t>
      </w:r>
      <w:r w:rsidRPr="00C4514D">
        <w:rPr>
          <w:rFonts w:ascii="Verdana" w:hAnsi="Verdana" w:cs="Arial"/>
          <w:color w:val="000000"/>
          <w:sz w:val="22"/>
          <w:szCs w:val="22"/>
        </w:rPr>
        <w:t xml:space="preserve"> providing information on the programming process with regular inputs which are open for all partners to comment on. This system allowed for timely information to be presented to all stakeholders, it will also allow stakeholders to provide contributions and receive feedback. The website was used as the main platform for EU wide consultation on the final draft version of the OP over a 6 week period.</w:t>
      </w:r>
    </w:p>
    <w:p w:rsidR="0099587B" w:rsidRPr="00C4514D" w:rsidRDefault="0099587B" w:rsidP="008B00B7">
      <w:pPr>
        <w:autoSpaceDE w:val="0"/>
        <w:autoSpaceDN w:val="0"/>
        <w:adjustRightInd w:val="0"/>
        <w:spacing w:after="180" w:line="276" w:lineRule="auto"/>
        <w:ind w:left="360"/>
        <w:jc w:val="both"/>
        <w:rPr>
          <w:rFonts w:ascii="Verdana" w:hAnsi="Verdana" w:cs="Arial"/>
          <w:color w:val="000000"/>
          <w:sz w:val="22"/>
          <w:szCs w:val="22"/>
        </w:rPr>
      </w:pP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u w:val="single"/>
        </w:rPr>
      </w:pPr>
      <w:r w:rsidRPr="00C4514D">
        <w:rPr>
          <w:rFonts w:ascii="Verdana" w:hAnsi="Verdana" w:cs="Arial"/>
          <w:color w:val="000000"/>
          <w:sz w:val="22"/>
          <w:szCs w:val="22"/>
          <w:u w:val="single"/>
        </w:rPr>
        <w:t>Specific Tasks for preparing an Operational Programme in Partnership</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i) Analysis and identification of Needs</w:t>
      </w:r>
    </w:p>
    <w:p w:rsidR="0099587B" w:rsidRPr="00C4514D" w:rsidRDefault="0099587B" w:rsidP="0036143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The URBACT Managing Authority /Joint technical Secretariat (MA/JTS) organised a consultation process using the Member States and Partner States to assist in ensuring a wide participation. A series of questionnaires were developed seeking the views of national authorities and local stakeholder (cities already participating in URBACT as well as non URBACT cities) to assist in identifying the needs and expectations of the URBACT programme.</w:t>
      </w:r>
    </w:p>
    <w:p w:rsidR="0099587B" w:rsidRPr="00C4514D" w:rsidRDefault="0099587B" w:rsidP="0036143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The MA/JTS carried out studies and evaluations consulting all URBACT stakeholders via the URBACT newsletter and actively seeking views of members of URBACT Local Support Groups.</w:t>
      </w:r>
    </w:p>
    <w:p w:rsidR="00361437" w:rsidRDefault="00361437" w:rsidP="008B00B7">
      <w:pPr>
        <w:autoSpaceDE w:val="0"/>
        <w:autoSpaceDN w:val="0"/>
        <w:adjustRightInd w:val="0"/>
        <w:spacing w:after="180" w:line="276" w:lineRule="auto"/>
        <w:jc w:val="both"/>
        <w:rPr>
          <w:rFonts w:ascii="Verdana" w:hAnsi="Verdana" w:cs="Arial"/>
          <w:color w:val="000000"/>
          <w:sz w:val="22"/>
          <w:szCs w:val="22"/>
        </w:rPr>
      </w:pP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ii) Definition of priorities and related objectives</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The JPWG members were responsible for agreeing these aspects having consulted relevant stakeholders in each country. The JPWG members were asked to report on the results of the MS/PS and city level questionnaires to ensure that the priorities and objectives reflect the views of all stakeholders.</w:t>
      </w:r>
    </w:p>
    <w:p w:rsidR="0099587B" w:rsidRPr="00C4514D" w:rsidRDefault="0099587B" w:rsidP="008B00B7">
      <w:pPr>
        <w:autoSpaceDE w:val="0"/>
        <w:autoSpaceDN w:val="0"/>
        <w:adjustRightInd w:val="0"/>
        <w:spacing w:after="180" w:line="276" w:lineRule="auto"/>
        <w:ind w:left="360"/>
        <w:jc w:val="both"/>
        <w:rPr>
          <w:rFonts w:ascii="Verdana" w:hAnsi="Verdana" w:cs="Arial"/>
          <w:color w:val="000000"/>
          <w:sz w:val="22"/>
          <w:szCs w:val="22"/>
        </w:rPr>
      </w:pP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iii) The allocation of funding</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Upon approval of the programme budget the JPWG decide</w:t>
      </w:r>
      <w:r w:rsidR="00F201D4" w:rsidRPr="00C4514D">
        <w:rPr>
          <w:rFonts w:ascii="Verdana" w:hAnsi="Verdana" w:cs="Arial"/>
          <w:color w:val="000000"/>
          <w:sz w:val="22"/>
          <w:szCs w:val="22"/>
        </w:rPr>
        <w:t>d</w:t>
      </w:r>
      <w:r w:rsidRPr="00C4514D">
        <w:rPr>
          <w:rFonts w:ascii="Verdana" w:hAnsi="Verdana" w:cs="Arial"/>
          <w:color w:val="000000"/>
          <w:sz w:val="22"/>
          <w:szCs w:val="22"/>
        </w:rPr>
        <w:t xml:space="preserve"> upon the programme budgetary structure and will outline the amounts of funding to be dedicated to each kind of action.  </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iv) Definition of programme specific indicators</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The JPWG members we</w:t>
      </w:r>
      <w:r w:rsidR="00F201D4" w:rsidRPr="00C4514D">
        <w:rPr>
          <w:rFonts w:ascii="Verdana" w:hAnsi="Verdana" w:cs="Arial"/>
          <w:color w:val="000000"/>
          <w:sz w:val="22"/>
          <w:szCs w:val="22"/>
        </w:rPr>
        <w:t>re</w:t>
      </w:r>
      <w:r w:rsidRPr="00C4514D">
        <w:rPr>
          <w:rFonts w:ascii="Verdana" w:hAnsi="Verdana" w:cs="Arial"/>
          <w:color w:val="000000"/>
          <w:sz w:val="22"/>
          <w:szCs w:val="22"/>
        </w:rPr>
        <w:t xml:space="preserve"> responsible for agreeing these aspects having consulted relevant stakeholders in each country.  </w:t>
      </w:r>
    </w:p>
    <w:p w:rsidR="0099587B" w:rsidRPr="00C4514D" w:rsidRDefault="0099587B" w:rsidP="008B00B7">
      <w:pPr>
        <w:autoSpaceDE w:val="0"/>
        <w:autoSpaceDN w:val="0"/>
        <w:adjustRightInd w:val="0"/>
        <w:spacing w:after="180" w:line="276" w:lineRule="auto"/>
        <w:ind w:left="360"/>
        <w:jc w:val="both"/>
        <w:rPr>
          <w:rFonts w:ascii="Verdana" w:hAnsi="Verdana" w:cs="Arial"/>
          <w:color w:val="000000"/>
          <w:sz w:val="22"/>
          <w:szCs w:val="22"/>
        </w:rPr>
      </w:pP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In addition other EU wide associations and agencies were consulted at a specific event organised in Brussels on 19</w:t>
      </w:r>
      <w:r w:rsidRPr="00C4514D">
        <w:rPr>
          <w:rFonts w:ascii="Verdana" w:hAnsi="Verdana" w:cs="Arial"/>
          <w:color w:val="000000"/>
          <w:sz w:val="22"/>
          <w:szCs w:val="22"/>
          <w:vertAlign w:val="superscript"/>
        </w:rPr>
        <w:t>th</w:t>
      </w:r>
      <w:r w:rsidRPr="00C4514D">
        <w:rPr>
          <w:rFonts w:ascii="Verdana" w:hAnsi="Verdana" w:cs="Arial"/>
          <w:color w:val="000000"/>
          <w:sz w:val="22"/>
          <w:szCs w:val="22"/>
        </w:rPr>
        <w:t xml:space="preserve"> February 2014 to ensure that the programme is addressing these principles as much as possible.</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Where necessary Member and Partner States carried out specific national level consultation exercises during April/May 2014.</w:t>
      </w:r>
    </w:p>
    <w:p w:rsidR="0099587B" w:rsidRPr="00C4514D" w:rsidRDefault="0099587B" w:rsidP="008B00B7">
      <w:pPr>
        <w:autoSpaceDE w:val="0"/>
        <w:autoSpaceDN w:val="0"/>
        <w:adjustRightInd w:val="0"/>
        <w:spacing w:after="180" w:line="276" w:lineRule="auto"/>
        <w:rPr>
          <w:rFonts w:ascii="Verdana" w:hAnsi="Verdana" w:cs="Arial"/>
          <w:color w:val="000000"/>
          <w:sz w:val="22"/>
          <w:szCs w:val="22"/>
        </w:rPr>
      </w:pPr>
    </w:p>
    <w:p w:rsidR="0099587B" w:rsidRPr="00C4514D" w:rsidRDefault="0099587B" w:rsidP="008B00B7">
      <w:pPr>
        <w:autoSpaceDE w:val="0"/>
        <w:autoSpaceDN w:val="0"/>
        <w:adjustRightInd w:val="0"/>
        <w:spacing w:after="180" w:line="276" w:lineRule="auto"/>
        <w:rPr>
          <w:rFonts w:ascii="Verdana" w:hAnsi="Verdana" w:cs="Arial"/>
          <w:b/>
          <w:color w:val="000000"/>
          <w:sz w:val="22"/>
          <w:szCs w:val="22"/>
        </w:rPr>
      </w:pPr>
      <w:r w:rsidRPr="00C4514D">
        <w:rPr>
          <w:rFonts w:ascii="Verdana" w:hAnsi="Verdana" w:cs="Arial"/>
          <w:b/>
          <w:color w:val="000000"/>
          <w:sz w:val="22"/>
          <w:szCs w:val="22"/>
        </w:rPr>
        <w:t>Implementation of the Operational Programme</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The programme shall be implemented considering the ongoing involvement of stakeholders.  Some examples can include:</w:t>
      </w:r>
    </w:p>
    <w:p w:rsidR="00C4514D" w:rsidRDefault="00C4514D" w:rsidP="008B00B7">
      <w:pPr>
        <w:spacing w:after="180" w:line="276" w:lineRule="auto"/>
        <w:rPr>
          <w:rFonts w:ascii="Verdana" w:hAnsi="Verdana" w:cs="Arial"/>
          <w:color w:val="000000"/>
          <w:sz w:val="22"/>
          <w:szCs w:val="22"/>
          <w:u w:val="single"/>
        </w:rPr>
      </w:pP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u w:val="single"/>
        </w:rPr>
      </w:pPr>
      <w:r w:rsidRPr="00C4514D">
        <w:rPr>
          <w:rFonts w:ascii="Verdana" w:hAnsi="Verdana" w:cs="Arial"/>
          <w:color w:val="000000"/>
          <w:sz w:val="22"/>
          <w:szCs w:val="22"/>
          <w:u w:val="single"/>
        </w:rPr>
        <w:t>Calls for Proposals</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The Monitoring Committee shall approve the scope and thematic coverage of each call for proposals.  Whilst preparing the calls for proposals EU level associations relevant for each call will be consulted and asked for their views on the thematic scope of the call.</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u w:val="single"/>
        </w:rPr>
      </w:pPr>
      <w:r w:rsidRPr="00C4514D">
        <w:rPr>
          <w:rFonts w:ascii="Verdana" w:hAnsi="Verdana" w:cs="Arial"/>
          <w:color w:val="000000"/>
          <w:sz w:val="22"/>
          <w:szCs w:val="22"/>
          <w:u w:val="single"/>
        </w:rPr>
        <w:t>The Monitoring Committee</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The Monitoring Committee (MC) will be set up to ensure clear and transparent arrangements for managing the programme. The MA will aim to promote equality between men and women in this committee. The members of the MC will be made public and each member will be asked to sign a statement relating to confidentiality and conflict of interest.</w:t>
      </w:r>
    </w:p>
    <w:p w:rsidR="0099587B" w:rsidRPr="00C4514D" w:rsidRDefault="0099587B" w:rsidP="008B00B7">
      <w:pPr>
        <w:autoSpaceDE w:val="0"/>
        <w:autoSpaceDN w:val="0"/>
        <w:adjustRightInd w:val="0"/>
        <w:spacing w:after="180" w:line="276" w:lineRule="auto"/>
        <w:ind w:left="360"/>
        <w:jc w:val="both"/>
        <w:rPr>
          <w:rFonts w:ascii="Verdana" w:hAnsi="Verdana" w:cs="Arial"/>
          <w:color w:val="000000"/>
          <w:sz w:val="22"/>
          <w:szCs w:val="22"/>
        </w:rPr>
      </w:pP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The MC will agree the rules of procedure which will outline in a clear and transparent manner the internal arrangements for the MC.</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u w:val="single"/>
        </w:rPr>
      </w:pPr>
      <w:r w:rsidRPr="00C4514D">
        <w:rPr>
          <w:rFonts w:ascii="Verdana" w:hAnsi="Verdana" w:cs="Arial"/>
          <w:color w:val="000000"/>
          <w:sz w:val="22"/>
          <w:szCs w:val="22"/>
          <w:u w:val="single"/>
        </w:rPr>
        <w:t>Evaluation</w:t>
      </w:r>
    </w:p>
    <w:p w:rsidR="0099587B" w:rsidRPr="00C4514D" w:rsidRDefault="0099587B" w:rsidP="008B00B7">
      <w:pPr>
        <w:autoSpaceDE w:val="0"/>
        <w:autoSpaceDN w:val="0"/>
        <w:adjustRightInd w:val="0"/>
        <w:spacing w:after="180" w:line="276" w:lineRule="auto"/>
        <w:jc w:val="both"/>
        <w:rPr>
          <w:rFonts w:ascii="Verdana" w:hAnsi="Verdana" w:cs="Arial"/>
          <w:color w:val="000000"/>
          <w:sz w:val="22"/>
          <w:szCs w:val="22"/>
        </w:rPr>
      </w:pPr>
      <w:r w:rsidRPr="00C4514D">
        <w:rPr>
          <w:rFonts w:ascii="Verdana" w:hAnsi="Verdana" w:cs="Arial"/>
          <w:color w:val="000000"/>
          <w:sz w:val="22"/>
          <w:szCs w:val="22"/>
        </w:rPr>
        <w:t>The URBACT programme shall undergo regular evaluation in collaboration and consultation with stakeholders. The result indicators of the programme shall require regular review and consultation with programme beneficiaries.</w:t>
      </w:r>
    </w:p>
    <w:p w:rsidR="0099587B" w:rsidRPr="00C4514D" w:rsidRDefault="0099587B" w:rsidP="008B00B7">
      <w:pPr>
        <w:spacing w:after="180" w:line="276" w:lineRule="auto"/>
        <w:rPr>
          <w:rFonts w:ascii="Verdana" w:hAnsi="Verdana" w:cs="Arial"/>
          <w:color w:val="000000"/>
          <w:sz w:val="22"/>
          <w:szCs w:val="22"/>
        </w:rPr>
      </w:pPr>
    </w:p>
    <w:p w:rsidR="0045684A" w:rsidRPr="00C4514D" w:rsidRDefault="0045684A">
      <w:pPr>
        <w:spacing w:after="200" w:line="276" w:lineRule="auto"/>
        <w:rPr>
          <w:rFonts w:ascii="Verdana" w:hAnsi="Verdana" w:cs="Arial"/>
          <w:color w:val="000000"/>
          <w:sz w:val="22"/>
          <w:szCs w:val="22"/>
        </w:rPr>
      </w:pPr>
      <w:r w:rsidRPr="00C4514D">
        <w:rPr>
          <w:rFonts w:ascii="Verdana" w:hAnsi="Verdana" w:cs="Arial"/>
          <w:color w:val="000000"/>
          <w:sz w:val="22"/>
          <w:szCs w:val="22"/>
        </w:rPr>
        <w:br w:type="page"/>
      </w:r>
    </w:p>
    <w:p w:rsidR="0045684A" w:rsidRPr="004F5F2B" w:rsidRDefault="0045684A" w:rsidP="0099587B">
      <w:pPr>
        <w:rPr>
          <w:rFonts w:ascii="Verdana" w:hAnsi="Verdana" w:cs="Arial"/>
          <w:color w:val="000000"/>
        </w:rPr>
      </w:pPr>
    </w:p>
    <w:p w:rsidR="0045684A" w:rsidRPr="004F5F2B" w:rsidRDefault="0045684A" w:rsidP="0099587B">
      <w:pPr>
        <w:rPr>
          <w:rFonts w:ascii="Verdana" w:hAnsi="Verdana" w:cs="Arial"/>
          <w:color w:val="000000"/>
        </w:rPr>
      </w:pPr>
    </w:p>
    <w:p w:rsidR="0045684A" w:rsidRPr="004F5F2B" w:rsidRDefault="0045684A" w:rsidP="0099587B">
      <w:pPr>
        <w:rPr>
          <w:rFonts w:ascii="Verdana" w:hAnsi="Verdana" w:cs="Arial"/>
          <w:color w:val="000000"/>
        </w:rPr>
      </w:pPr>
    </w:p>
    <w:p w:rsidR="0045684A" w:rsidRPr="004F5F2B" w:rsidRDefault="0045684A" w:rsidP="0099587B">
      <w:pPr>
        <w:rPr>
          <w:rFonts w:ascii="Verdana" w:hAnsi="Verdana" w:cs="Arial"/>
          <w:color w:val="000000"/>
        </w:rPr>
      </w:pPr>
    </w:p>
    <w:p w:rsidR="00AC759C" w:rsidRPr="004F5F2B" w:rsidRDefault="00AC759C" w:rsidP="0045684A">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45684A" w:rsidRPr="004F5F2B" w:rsidRDefault="0045684A" w:rsidP="0045684A">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r w:rsidRPr="004F5F2B">
        <w:rPr>
          <w:rFonts w:ascii="Verdana" w:hAnsi="Verdana"/>
          <w:b/>
          <w:bCs/>
        </w:rPr>
        <w:t>SECTION SIX</w:t>
      </w:r>
    </w:p>
    <w:p w:rsidR="0045684A" w:rsidRPr="004F5F2B" w:rsidRDefault="0045684A" w:rsidP="0045684A">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45684A" w:rsidRPr="004F5F2B" w:rsidRDefault="0045684A" w:rsidP="0045684A">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sz w:val="36"/>
          <w:szCs w:val="36"/>
        </w:rPr>
      </w:pPr>
      <w:r w:rsidRPr="004F5F2B">
        <w:rPr>
          <w:rFonts w:ascii="Verdana" w:hAnsi="Verdana"/>
          <w:b/>
          <w:sz w:val="36"/>
          <w:szCs w:val="36"/>
          <w:lang w:eastAsia="ar-SA"/>
        </w:rPr>
        <w:t>Coordination between funds</w:t>
      </w:r>
    </w:p>
    <w:p w:rsidR="0045684A" w:rsidRPr="004F5F2B" w:rsidRDefault="0045684A" w:rsidP="0045684A">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45684A" w:rsidRPr="004F5F2B" w:rsidRDefault="0045684A" w:rsidP="0045684A">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11D8" w:rsidRPr="004F5F2B" w:rsidRDefault="00E611D8" w:rsidP="0045684A">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45684A" w:rsidRPr="004F5F2B" w:rsidRDefault="0045684A" w:rsidP="00D67ECF">
      <w:pPr>
        <w:pStyle w:val="Paragraphedeliste3"/>
        <w:numPr>
          <w:ilvl w:val="1"/>
          <w:numId w:val="12"/>
        </w:num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sz w:val="24"/>
          <w:szCs w:val="24"/>
        </w:rPr>
      </w:pPr>
      <w:r w:rsidRPr="004F5F2B">
        <w:rPr>
          <w:rFonts w:ascii="Verdana" w:eastAsia="Arial" w:hAnsi="Verdana"/>
          <w:b/>
          <w:sz w:val="24"/>
          <w:szCs w:val="24"/>
        </w:rPr>
        <w:t>Coordination with mainstream programmes (ERDF, ESF, EAFRD, EMFF)</w:t>
      </w:r>
    </w:p>
    <w:p w:rsidR="0045684A" w:rsidRPr="004F5F2B" w:rsidRDefault="0045684A" w:rsidP="00E611D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E611D8" w:rsidRPr="004F5F2B" w:rsidRDefault="00E611D8" w:rsidP="00E611D8">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45684A" w:rsidRPr="004F5F2B" w:rsidRDefault="00E611D8" w:rsidP="00D67ECF">
      <w:pPr>
        <w:pStyle w:val="Paragraphedeliste3"/>
        <w:numPr>
          <w:ilvl w:val="1"/>
          <w:numId w:val="12"/>
        </w:num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sz w:val="24"/>
          <w:szCs w:val="24"/>
        </w:rPr>
      </w:pPr>
      <w:r w:rsidRPr="004F5F2B">
        <w:rPr>
          <w:rFonts w:ascii="Verdana" w:eastAsia="Arial" w:hAnsi="Verdana"/>
          <w:b/>
          <w:sz w:val="24"/>
          <w:szCs w:val="24"/>
        </w:rPr>
        <w:t>Coordination with other interregional cooperation programmes of the ETC goal</w:t>
      </w:r>
    </w:p>
    <w:p w:rsidR="0045684A" w:rsidRPr="004F5F2B" w:rsidRDefault="0045684A" w:rsidP="0045684A">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45684A" w:rsidRPr="004F5F2B" w:rsidRDefault="0045684A" w:rsidP="0045684A">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45684A" w:rsidRPr="004F5F2B" w:rsidRDefault="0045684A" w:rsidP="0045684A">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45684A" w:rsidRPr="004F5F2B" w:rsidRDefault="0045684A" w:rsidP="0045684A">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45684A" w:rsidRPr="004F5F2B" w:rsidRDefault="0045684A" w:rsidP="0099587B">
      <w:pPr>
        <w:rPr>
          <w:rFonts w:ascii="Verdana" w:hAnsi="Verdana" w:cs="Arial"/>
          <w:color w:val="000000"/>
        </w:rPr>
      </w:pPr>
    </w:p>
    <w:p w:rsidR="0045684A" w:rsidRPr="004F5F2B" w:rsidRDefault="0045684A" w:rsidP="0099587B">
      <w:pPr>
        <w:rPr>
          <w:rFonts w:ascii="Verdana" w:hAnsi="Verdana" w:cs="Arial"/>
          <w:color w:val="000000"/>
        </w:rPr>
      </w:pPr>
    </w:p>
    <w:p w:rsidR="0045684A" w:rsidRPr="004F5F2B" w:rsidRDefault="0045684A" w:rsidP="0099587B">
      <w:pPr>
        <w:rPr>
          <w:rFonts w:ascii="Verdana" w:hAnsi="Verdana" w:cs="Arial"/>
          <w:color w:val="000000"/>
        </w:rPr>
      </w:pPr>
    </w:p>
    <w:p w:rsidR="0045684A" w:rsidRPr="004F5F2B" w:rsidRDefault="0045684A" w:rsidP="0099587B">
      <w:pPr>
        <w:rPr>
          <w:rFonts w:ascii="Verdana" w:hAnsi="Verdana" w:cs="Arial"/>
          <w:color w:val="000000"/>
        </w:rPr>
      </w:pPr>
    </w:p>
    <w:p w:rsidR="0045684A" w:rsidRPr="004F5F2B" w:rsidRDefault="0045684A" w:rsidP="0099587B">
      <w:pPr>
        <w:rPr>
          <w:rFonts w:ascii="Verdana" w:hAnsi="Verdana" w:cs="Arial"/>
          <w:color w:val="000000"/>
        </w:rPr>
      </w:pPr>
    </w:p>
    <w:p w:rsidR="0045684A" w:rsidRPr="004F5F2B" w:rsidRDefault="0045684A" w:rsidP="0099587B">
      <w:pPr>
        <w:rPr>
          <w:rFonts w:ascii="Verdana" w:hAnsi="Verdana" w:cs="Arial"/>
          <w:color w:val="000000"/>
        </w:rPr>
      </w:pPr>
    </w:p>
    <w:p w:rsidR="00B438B7" w:rsidRPr="004F5F2B" w:rsidRDefault="00B438B7">
      <w:pPr>
        <w:spacing w:after="200" w:line="276" w:lineRule="auto"/>
        <w:rPr>
          <w:rFonts w:ascii="Verdana" w:eastAsia="Arial" w:hAnsi="Verdana" w:cs="Arial"/>
          <w:color w:val="1F497D"/>
        </w:rPr>
      </w:pPr>
      <w:r w:rsidRPr="004F5F2B">
        <w:rPr>
          <w:rFonts w:ascii="Verdana" w:eastAsia="Arial" w:hAnsi="Verdana" w:cs="Arial"/>
          <w:color w:val="1F497D"/>
        </w:rPr>
        <w:br w:type="page"/>
      </w:r>
    </w:p>
    <w:p w:rsidR="00B438B7" w:rsidRPr="004F5F2B" w:rsidRDefault="00B438B7" w:rsidP="00A40420">
      <w:pPr>
        <w:pStyle w:val="StyleHeading1Hanging085cm"/>
      </w:pPr>
      <w:bookmarkStart w:id="50" w:name="_Toc372539883"/>
      <w:bookmarkStart w:id="51" w:name="_Toc384648465"/>
      <w:r w:rsidRPr="004F5F2B">
        <w:t>Section 6. Coordination between funds</w:t>
      </w:r>
      <w:bookmarkEnd w:id="50"/>
      <w:bookmarkEnd w:id="51"/>
    </w:p>
    <w:p w:rsidR="00B438B7" w:rsidRPr="003F3792" w:rsidRDefault="00B438B7" w:rsidP="00330F33">
      <w:pPr>
        <w:spacing w:after="180" w:line="276" w:lineRule="auto"/>
        <w:jc w:val="both"/>
        <w:rPr>
          <w:rFonts w:ascii="Verdana" w:hAnsi="Verdana" w:cs="Arial"/>
          <w:sz w:val="22"/>
          <w:szCs w:val="22"/>
        </w:rPr>
      </w:pPr>
      <w:r w:rsidRPr="003F3792">
        <w:rPr>
          <w:rFonts w:ascii="Verdana" w:hAnsi="Verdana" w:cs="Arial"/>
          <w:sz w:val="22"/>
          <w:szCs w:val="22"/>
        </w:rPr>
        <w:t xml:space="preserve">This section addresses the coordination of URBACT III with other EU-funded programmes. Ensuring a better coordination with other policies and programmes is necessary in order to promote synergies and complementarities between them. </w:t>
      </w:r>
    </w:p>
    <w:p w:rsidR="00B438B7" w:rsidRPr="004F5F2B" w:rsidRDefault="007B5752" w:rsidP="00330F33">
      <w:pPr>
        <w:pStyle w:val="2"/>
        <w:spacing w:after="180" w:line="276" w:lineRule="auto"/>
      </w:pPr>
      <w:bookmarkStart w:id="52" w:name="_Toc372539885"/>
      <w:bookmarkStart w:id="53" w:name="_Toc384648466"/>
      <w:r>
        <w:t>6.1.</w:t>
      </w:r>
      <w:r>
        <w:tab/>
      </w:r>
      <w:r w:rsidR="00B438B7" w:rsidRPr="004F5F2B">
        <w:t xml:space="preserve">Coordination with mainstream programmes </w:t>
      </w:r>
      <w:bookmarkEnd w:id="52"/>
      <w:r w:rsidR="00B438B7" w:rsidRPr="004F5F2B">
        <w:t>(ERDF, ESF, EAFRD, EMFF)</w:t>
      </w:r>
      <w:bookmarkEnd w:id="53"/>
      <w:r w:rsidR="00B438B7" w:rsidRPr="004F5F2B">
        <w:t xml:space="preserve"> </w:t>
      </w:r>
    </w:p>
    <w:p w:rsidR="008B7C2C" w:rsidRPr="003F3792" w:rsidRDefault="008B7C2C" w:rsidP="00330F33">
      <w:pPr>
        <w:spacing w:after="180" w:line="276" w:lineRule="auto"/>
        <w:jc w:val="both"/>
        <w:rPr>
          <w:rFonts w:ascii="Verdana" w:hAnsi="Verdana"/>
          <w:iCs/>
          <w:sz w:val="22"/>
          <w:szCs w:val="22"/>
          <w:lang w:eastAsia="fr-BE"/>
        </w:rPr>
      </w:pPr>
      <w:r w:rsidRPr="003F3792">
        <w:rPr>
          <w:rFonts w:ascii="Verdana" w:hAnsi="Verdana"/>
          <w:iCs/>
          <w:sz w:val="22"/>
          <w:szCs w:val="22"/>
          <w:lang w:eastAsia="fr-BE"/>
        </w:rPr>
        <w:t xml:space="preserve">URBACT is primarily a capacity building programme for cities in order to </w:t>
      </w:r>
      <w:r w:rsidRPr="003F3792">
        <w:rPr>
          <w:rFonts w:ascii="Verdana" w:hAnsi="Verdana"/>
          <w:sz w:val="22"/>
          <w:szCs w:val="22"/>
          <w:lang w:eastAsia="fr-BE"/>
        </w:rPr>
        <w:t>improve their capacity to develop and implement integrated urban policies and to allow them (and other stakeholders)</w:t>
      </w:r>
      <w:r w:rsidRPr="003F3792">
        <w:rPr>
          <w:rFonts w:ascii="Verdana" w:hAnsi="Verdana"/>
          <w:iCs/>
          <w:sz w:val="22"/>
          <w:szCs w:val="22"/>
          <w:lang w:eastAsia="fr-BE"/>
        </w:rPr>
        <w:t xml:space="preserve"> to share the knowledge needed to foster integrated sustainable urban development.</w:t>
      </w:r>
      <w:r w:rsidRPr="003F3792">
        <w:rPr>
          <w:rFonts w:ascii="Verdana" w:hAnsi="Verdana"/>
          <w:sz w:val="22"/>
          <w:szCs w:val="22"/>
        </w:rPr>
        <w:t xml:space="preserve"> The scope of URBACT puts the programme in a prime position to impact and improve the mainstream programmes for the following reasons:</w:t>
      </w:r>
    </w:p>
    <w:p w:rsidR="008B7C2C" w:rsidRPr="003F3792" w:rsidRDefault="00330F33" w:rsidP="00D67ECF">
      <w:pPr>
        <w:pStyle w:val="Paragraphedeliste3"/>
        <w:numPr>
          <w:ilvl w:val="0"/>
          <w:numId w:val="53"/>
        </w:numPr>
        <w:spacing w:after="180"/>
        <w:ind w:left="714" w:hanging="357"/>
        <w:jc w:val="both"/>
        <w:rPr>
          <w:rFonts w:ascii="Verdana" w:hAnsi="Verdana" w:cs="Arial"/>
          <w:color w:val="000000"/>
        </w:rPr>
      </w:pPr>
      <w:r>
        <w:rPr>
          <w:rFonts w:ascii="Verdana" w:hAnsi="Verdana"/>
        </w:rPr>
        <w:t>A</w:t>
      </w:r>
      <w:r w:rsidR="008B7C2C" w:rsidRPr="003F3792">
        <w:rPr>
          <w:rFonts w:ascii="Verdana" w:hAnsi="Verdana"/>
        </w:rPr>
        <w:t xml:space="preserve"> </w:t>
      </w:r>
      <w:r w:rsidR="008B7C2C" w:rsidRPr="003F3792">
        <w:rPr>
          <w:rFonts w:ascii="Verdana" w:hAnsi="Verdana"/>
          <w:lang w:eastAsia="ja-JP"/>
        </w:rPr>
        <w:t xml:space="preserve">significant portion of European Structural and Investment (ESI) funds already goes to urban areas through sectoral investments which address issues such as waste water, energy efficiency, mobility, innovation, climate change adaption, etc. </w:t>
      </w:r>
    </w:p>
    <w:p w:rsidR="008B7C2C" w:rsidRPr="003F3792" w:rsidRDefault="00330F33" w:rsidP="00D67ECF">
      <w:pPr>
        <w:pStyle w:val="Paragraphedeliste3"/>
        <w:numPr>
          <w:ilvl w:val="0"/>
          <w:numId w:val="53"/>
        </w:numPr>
        <w:spacing w:after="180"/>
        <w:ind w:left="714" w:hanging="357"/>
        <w:jc w:val="both"/>
        <w:rPr>
          <w:rFonts w:ascii="Verdana" w:hAnsi="Verdana" w:cs="Arial"/>
          <w:color w:val="000000"/>
          <w:u w:val="single"/>
        </w:rPr>
      </w:pPr>
      <w:r>
        <w:rPr>
          <w:rFonts w:ascii="Verdana" w:hAnsi="Verdana" w:cs="Arial"/>
        </w:rPr>
        <w:t>I</w:t>
      </w:r>
      <w:r w:rsidR="008B7C2C" w:rsidRPr="003F3792">
        <w:rPr>
          <w:rFonts w:ascii="Verdana" w:hAnsi="Verdana" w:cs="Arial"/>
        </w:rPr>
        <w:t xml:space="preserve">ntegration of </w:t>
      </w:r>
      <w:r w:rsidR="008B7C2C" w:rsidRPr="003F3792">
        <w:rPr>
          <w:rFonts w:ascii="Verdana" w:hAnsi="Verdana" w:cs="Arial"/>
          <w:color w:val="000000"/>
        </w:rPr>
        <w:t xml:space="preserve">social, economic, environmental and spatial dimensions requires the combination of various sources of funds, for example infrastructural and social actions financed by ERDF and ESF for a deprived neighbourhood, or ERDF and EAFRD for actions related to urban-rural linkages within an </w:t>
      </w:r>
      <w:r w:rsidR="008B7C2C" w:rsidRPr="003F3792">
        <w:rPr>
          <w:rFonts w:ascii="Verdana" w:hAnsi="Verdana" w:cs="Arial"/>
          <w:color w:val="000000"/>
          <w:u w:val="single"/>
        </w:rPr>
        <w:t xml:space="preserve">urban area. </w:t>
      </w:r>
    </w:p>
    <w:p w:rsidR="008B7C2C" w:rsidRPr="003F3792" w:rsidRDefault="008B7C2C" w:rsidP="00330F33">
      <w:pPr>
        <w:spacing w:after="180" w:line="276" w:lineRule="auto"/>
        <w:jc w:val="both"/>
        <w:rPr>
          <w:rFonts w:ascii="Verdana" w:hAnsi="Verdana"/>
          <w:sz w:val="22"/>
          <w:szCs w:val="22"/>
        </w:rPr>
      </w:pPr>
      <w:r w:rsidRPr="003F3792">
        <w:rPr>
          <w:rFonts w:ascii="Verdana" w:hAnsi="Verdana"/>
          <w:sz w:val="22"/>
          <w:szCs w:val="22"/>
        </w:rPr>
        <w:t xml:space="preserve">URBACT can therefore contribute going forward to </w:t>
      </w:r>
      <w:r w:rsidRPr="003F3792">
        <w:rPr>
          <w:rFonts w:ascii="Verdana" w:hAnsi="Verdana"/>
          <w:sz w:val="22"/>
          <w:szCs w:val="22"/>
          <w:lang w:eastAsia="ja-JP"/>
        </w:rPr>
        <w:t xml:space="preserve">the better alignment of these sectoral investments in order to avoid uncoordinated interventions and to achieve more efficient and effective spending in urban areas. A </w:t>
      </w:r>
      <w:r w:rsidRPr="003F3792">
        <w:rPr>
          <w:rFonts w:ascii="Verdana" w:hAnsi="Verdana" w:cs="Arial"/>
          <w:sz w:val="22"/>
          <w:szCs w:val="22"/>
        </w:rPr>
        <w:t>closer and more structural link between URBACT and mainstream structural investments is therefore essential.</w:t>
      </w:r>
    </w:p>
    <w:p w:rsidR="008B7C2C" w:rsidRPr="003F3792" w:rsidRDefault="008B7C2C" w:rsidP="00330F33">
      <w:pPr>
        <w:spacing w:after="180" w:line="276" w:lineRule="auto"/>
        <w:jc w:val="both"/>
        <w:rPr>
          <w:rFonts w:ascii="Verdana" w:hAnsi="Verdana" w:cs="Arial"/>
          <w:color w:val="000000"/>
          <w:sz w:val="22"/>
          <w:szCs w:val="22"/>
        </w:rPr>
      </w:pPr>
      <w:r w:rsidRPr="003F3792">
        <w:rPr>
          <w:rFonts w:ascii="Verdana" w:hAnsi="Verdana" w:cs="Arial"/>
          <w:color w:val="000000"/>
          <w:sz w:val="22"/>
          <w:szCs w:val="22"/>
        </w:rPr>
        <w:t>As such, URBACT III aims to impact positively on the implementation of mainstream operational programmes in the following ways:</w:t>
      </w:r>
    </w:p>
    <w:p w:rsidR="008B7C2C" w:rsidRPr="003F3792" w:rsidRDefault="008B7C2C" w:rsidP="00D67ECF">
      <w:pPr>
        <w:pStyle w:val="Paragraphedeliste3"/>
        <w:numPr>
          <w:ilvl w:val="0"/>
          <w:numId w:val="54"/>
        </w:numPr>
        <w:spacing w:after="180"/>
        <w:ind w:left="714" w:hanging="357"/>
        <w:contextualSpacing w:val="0"/>
        <w:jc w:val="both"/>
        <w:rPr>
          <w:rFonts w:ascii="Verdana" w:hAnsi="Verdana"/>
          <w:lang w:eastAsia="ja-JP"/>
        </w:rPr>
      </w:pPr>
      <w:r w:rsidRPr="003F3792">
        <w:rPr>
          <w:rFonts w:ascii="Verdana" w:hAnsi="Verdana" w:cs="Arial"/>
          <w:color w:val="000000"/>
        </w:rPr>
        <w:t xml:space="preserve">URBACT will actively work with those cities receiving funding through ERDF programmes under Article 7 (whether through an ITI, specific Operational Programme, or specific priority axis). URBACT will </w:t>
      </w:r>
      <w:r w:rsidRPr="003F3792">
        <w:rPr>
          <w:rFonts w:ascii="Verdana" w:hAnsi="Verdana"/>
          <w:lang w:eastAsia="ja-JP"/>
        </w:rPr>
        <w:t>seek to scale up the activities of those and disseminate their experiences amongst the URBACT community. URBACT will also seek to provide those 'Article 7' cities the benefit of the knowledge being generated as a result of URBACT activities – thereby improving the delivery of the Operational Programmes implemented partially through Article 7.</w:t>
      </w:r>
    </w:p>
    <w:p w:rsidR="008B7C2C" w:rsidRPr="003F3792" w:rsidRDefault="008B7C2C" w:rsidP="00D67ECF">
      <w:pPr>
        <w:pStyle w:val="Paragraphedeliste3"/>
        <w:numPr>
          <w:ilvl w:val="0"/>
          <w:numId w:val="54"/>
        </w:numPr>
        <w:spacing w:after="180"/>
        <w:ind w:left="714" w:hanging="357"/>
        <w:contextualSpacing w:val="0"/>
        <w:jc w:val="both"/>
        <w:rPr>
          <w:rFonts w:ascii="Verdana" w:hAnsi="Verdana"/>
          <w:lang w:eastAsia="ja-JP"/>
        </w:rPr>
      </w:pPr>
      <w:r w:rsidRPr="003F3792">
        <w:rPr>
          <w:rFonts w:ascii="Verdana" w:hAnsi="Verdana"/>
        </w:rPr>
        <w:t xml:space="preserve">URBACT III will seek to </w:t>
      </w:r>
      <w:r w:rsidRPr="003F3792">
        <w:rPr>
          <w:rFonts w:ascii="Verdana" w:hAnsi="Verdana"/>
          <w:color w:val="000000"/>
        </w:rPr>
        <w:t>anchor the Community-Led Local Development (CLLD)</w:t>
      </w:r>
      <w:r w:rsidRPr="003F3792">
        <w:rPr>
          <w:rFonts w:ascii="Verdana" w:hAnsi="Verdana" w:cs="Calibri"/>
        </w:rPr>
        <w:t xml:space="preserve"> approach in cities through exchange activities between cities engaged in delivering CLLD approaches (funded by ESI funds) and also capacity building activities for the same cities in order to improve their understanding and management of CLLD.</w:t>
      </w:r>
    </w:p>
    <w:p w:rsidR="008B7C2C" w:rsidRPr="003F3792" w:rsidRDefault="008B7C2C" w:rsidP="00D67ECF">
      <w:pPr>
        <w:pStyle w:val="Paragraphedeliste3"/>
        <w:numPr>
          <w:ilvl w:val="0"/>
          <w:numId w:val="54"/>
        </w:numPr>
        <w:spacing w:after="180"/>
        <w:ind w:left="714" w:hanging="357"/>
        <w:contextualSpacing w:val="0"/>
        <w:jc w:val="both"/>
        <w:rPr>
          <w:rFonts w:ascii="Verdana" w:hAnsi="Verdana"/>
          <w:lang w:eastAsia="ja-JP"/>
        </w:rPr>
      </w:pPr>
      <w:r w:rsidRPr="003F3792">
        <w:rPr>
          <w:rFonts w:ascii="Verdana" w:hAnsi="Verdana"/>
        </w:rPr>
        <w:t xml:space="preserve">URBACT </w:t>
      </w:r>
      <w:r w:rsidRPr="003F3792">
        <w:rPr>
          <w:rFonts w:ascii="Verdana" w:hAnsi="Verdana" w:cs="Arial"/>
        </w:rPr>
        <w:t>National Points in charge of communicating on URBACT activities and results will strengthen the cooperation between local, regional, national and EU levels and embed better URBACT results in policies and practices in the mainstream programmes.</w:t>
      </w:r>
    </w:p>
    <w:p w:rsidR="00B438B7" w:rsidRPr="00307879" w:rsidRDefault="002E5CA7" w:rsidP="00307879">
      <w:pPr>
        <w:spacing w:after="180" w:line="276" w:lineRule="auto"/>
        <w:jc w:val="both"/>
        <w:rPr>
          <w:rFonts w:ascii="Verdana" w:hAnsi="Verdana"/>
          <w:sz w:val="22"/>
          <w:szCs w:val="22"/>
        </w:rPr>
      </w:pPr>
      <w:r w:rsidRPr="00307879">
        <w:rPr>
          <w:rFonts w:ascii="Verdana" w:hAnsi="Verdana"/>
          <w:sz w:val="22"/>
          <w:szCs w:val="22"/>
        </w:rPr>
        <w:t>URBACT, in a more general sense, through enabling exchange and learning between elected officials, officers and other city stakeholders will contribute to a greater understanding of urban problems and the integrated approach. This, indirectly, will impact positively the implementation in Operational Programmes.</w:t>
      </w:r>
    </w:p>
    <w:p w:rsidR="00B438B7" w:rsidRPr="004F5F2B" w:rsidRDefault="007B5752" w:rsidP="00330F33">
      <w:pPr>
        <w:pStyle w:val="2"/>
        <w:spacing w:after="180" w:line="276" w:lineRule="auto"/>
      </w:pPr>
      <w:bookmarkStart w:id="54" w:name="_Toc372539887"/>
      <w:bookmarkStart w:id="55" w:name="_Toc384648467"/>
      <w:r>
        <w:t>6.2.</w:t>
      </w:r>
      <w:r>
        <w:tab/>
      </w:r>
      <w:r w:rsidR="00B438B7" w:rsidRPr="004F5F2B">
        <w:t>Coordination with other interregional cooperation programmes of the ETC goal</w:t>
      </w:r>
      <w:bookmarkEnd w:id="54"/>
      <w:bookmarkEnd w:id="55"/>
    </w:p>
    <w:p w:rsidR="00B438B7" w:rsidRPr="003F3792" w:rsidRDefault="00B438B7" w:rsidP="00330F33">
      <w:pPr>
        <w:autoSpaceDE w:val="0"/>
        <w:autoSpaceDN w:val="0"/>
        <w:adjustRightInd w:val="0"/>
        <w:spacing w:after="180" w:line="276" w:lineRule="auto"/>
        <w:jc w:val="both"/>
        <w:rPr>
          <w:rFonts w:ascii="Verdana" w:eastAsia="MS Mincho" w:hAnsi="Verdana" w:cs="Arial"/>
          <w:sz w:val="22"/>
          <w:szCs w:val="22"/>
          <w:lang w:eastAsia="ja-JP"/>
        </w:rPr>
      </w:pPr>
      <w:r w:rsidRPr="003F3792">
        <w:rPr>
          <w:rFonts w:ascii="Verdana" w:eastAsia="MS Mincho" w:hAnsi="Verdana" w:cs="Arial"/>
          <w:sz w:val="22"/>
          <w:szCs w:val="22"/>
          <w:lang w:eastAsia="ja-JP"/>
        </w:rPr>
        <w:t xml:space="preserve">Since 2000, the four interregional cooperation programmes of the European Territorial Cooperation (ETC) goal – </w:t>
      </w:r>
      <w:r w:rsidRPr="003F3792">
        <w:rPr>
          <w:rFonts w:ascii="Verdana" w:eastAsia="MS Mincho" w:hAnsi="Verdana" w:cs="Arial"/>
          <w:bCs/>
          <w:sz w:val="22"/>
          <w:szCs w:val="22"/>
          <w:lang w:eastAsia="ja-JP"/>
        </w:rPr>
        <w:t>ESPON, INTERACT, INTERREG IVC and URBACT</w:t>
      </w:r>
      <w:r w:rsidRPr="003F3792">
        <w:rPr>
          <w:rFonts w:ascii="Verdana" w:eastAsia="MS Mincho" w:hAnsi="Verdana" w:cs="Arial"/>
          <w:sz w:val="22"/>
          <w:szCs w:val="22"/>
          <w:lang w:eastAsia="ja-JP"/>
        </w:rPr>
        <w:t xml:space="preserve"> - have been in charge of different aspects of improving the quality and the efficiency of EU </w:t>
      </w:r>
      <w:r w:rsidR="00932EEE" w:rsidRPr="003F3792">
        <w:rPr>
          <w:rFonts w:ascii="Verdana" w:eastAsia="MS Mincho" w:hAnsi="Verdana" w:cs="Arial"/>
          <w:sz w:val="22"/>
          <w:szCs w:val="22"/>
          <w:lang w:eastAsia="ja-JP"/>
        </w:rPr>
        <w:t>urban and r</w:t>
      </w:r>
      <w:r w:rsidRPr="003F3792">
        <w:rPr>
          <w:rFonts w:ascii="Verdana" w:eastAsia="MS Mincho" w:hAnsi="Verdana" w:cs="Arial"/>
          <w:sz w:val="22"/>
          <w:szCs w:val="22"/>
          <w:lang w:eastAsia="ja-JP"/>
        </w:rPr>
        <w:t xml:space="preserve">egional Policy. Their common pan-European geographical scope and increasing maturity of operations have been gradually explored. More and more complementarities have been showcased in an increasing number of </w:t>
      </w:r>
      <w:r w:rsidR="00B90A9F" w:rsidRPr="003F3792">
        <w:rPr>
          <w:rFonts w:ascii="Verdana" w:eastAsia="MS Mincho" w:hAnsi="Verdana" w:cs="Arial"/>
          <w:sz w:val="22"/>
          <w:szCs w:val="22"/>
          <w:lang w:eastAsia="ja-JP"/>
        </w:rPr>
        <w:t xml:space="preserve">activities and </w:t>
      </w:r>
      <w:r w:rsidRPr="003F3792">
        <w:rPr>
          <w:rFonts w:ascii="Verdana" w:eastAsia="MS Mincho" w:hAnsi="Verdana" w:cs="Arial"/>
          <w:sz w:val="22"/>
          <w:szCs w:val="22"/>
          <w:lang w:eastAsia="ja-JP"/>
        </w:rPr>
        <w:t xml:space="preserve">events, such as for instance at the Open Days. Additionally, their know-how and committed staff </w:t>
      </w:r>
      <w:r w:rsidR="00B90A9F" w:rsidRPr="003F3792">
        <w:rPr>
          <w:rFonts w:ascii="Verdana" w:eastAsia="MS Mincho" w:hAnsi="Verdana" w:cs="Arial"/>
          <w:sz w:val="22"/>
          <w:szCs w:val="22"/>
          <w:lang w:eastAsia="ja-JP"/>
        </w:rPr>
        <w:t xml:space="preserve">have worked </w:t>
      </w:r>
      <w:r w:rsidRPr="003F3792">
        <w:rPr>
          <w:rFonts w:ascii="Verdana" w:eastAsia="MS Mincho" w:hAnsi="Verdana" w:cs="Arial"/>
          <w:sz w:val="22"/>
          <w:szCs w:val="22"/>
          <w:lang w:eastAsia="ja-JP"/>
        </w:rPr>
        <w:t>together on a number of concrete activities, in particular for a framework for joint capitalisation and dissemination activities.</w:t>
      </w:r>
    </w:p>
    <w:p w:rsidR="00B438B7" w:rsidRPr="003F3792" w:rsidRDefault="00B438B7" w:rsidP="00330F33">
      <w:pPr>
        <w:autoSpaceDE w:val="0"/>
        <w:autoSpaceDN w:val="0"/>
        <w:adjustRightInd w:val="0"/>
        <w:spacing w:after="180" w:line="276" w:lineRule="auto"/>
        <w:jc w:val="both"/>
        <w:rPr>
          <w:rFonts w:ascii="Verdana" w:eastAsia="MS Mincho" w:hAnsi="Verdana" w:cs="Arial"/>
          <w:i/>
          <w:iCs/>
          <w:sz w:val="22"/>
          <w:szCs w:val="22"/>
          <w:lang w:eastAsia="ja-JP"/>
        </w:rPr>
      </w:pPr>
      <w:r w:rsidRPr="003F3792">
        <w:rPr>
          <w:rFonts w:ascii="Verdana" w:eastAsia="MS Mincho" w:hAnsi="Verdana" w:cs="Arial"/>
          <w:sz w:val="22"/>
          <w:szCs w:val="22"/>
          <w:lang w:eastAsia="ja-JP"/>
        </w:rPr>
        <w:t xml:space="preserve">These Operational Programmes all included during the 2007-2013 period a resolution saying in substance: </w:t>
      </w:r>
      <w:r w:rsidRPr="003F3792">
        <w:rPr>
          <w:rFonts w:ascii="Verdana" w:eastAsia="MS Mincho" w:hAnsi="Verdana" w:cs="Arial"/>
          <w:i/>
          <w:iCs/>
          <w:sz w:val="22"/>
          <w:szCs w:val="22"/>
          <w:lang w:eastAsia="ja-JP"/>
        </w:rPr>
        <w:t xml:space="preserve">“Synergies between the </w:t>
      </w:r>
      <w:r w:rsidR="00B90A9F" w:rsidRPr="003F3792">
        <w:rPr>
          <w:rFonts w:ascii="Verdana" w:eastAsia="MS Mincho" w:hAnsi="Verdana" w:cs="Arial"/>
          <w:i/>
          <w:iCs/>
          <w:sz w:val="22"/>
          <w:szCs w:val="22"/>
          <w:lang w:eastAsia="ja-JP"/>
        </w:rPr>
        <w:t>four</w:t>
      </w:r>
      <w:r w:rsidRPr="003F3792">
        <w:rPr>
          <w:rFonts w:ascii="Verdana" w:eastAsia="MS Mincho" w:hAnsi="Verdana" w:cs="Arial"/>
          <w:i/>
          <w:iCs/>
          <w:sz w:val="22"/>
          <w:szCs w:val="22"/>
          <w:lang w:eastAsia="ja-JP"/>
        </w:rPr>
        <w:t xml:space="preserve"> network programmes INTERACT, ESPON, URBACT and INTERREG IVC shall be looked for through a strong coordination in elaborating their yearly activities and through regularly providing information on the activities of and results achieved in the other programmes to the Monitoring Committees. Furthermore, a close cooperation is intended as regards all technical programme implementation matters.” </w:t>
      </w:r>
      <w:r w:rsidRPr="003F3792">
        <w:rPr>
          <w:rFonts w:ascii="Verdana" w:eastAsia="MS Mincho" w:hAnsi="Verdana" w:cs="Arial"/>
          <w:sz w:val="22"/>
          <w:szCs w:val="22"/>
          <w:lang w:eastAsia="ja-JP"/>
        </w:rPr>
        <w:t xml:space="preserve">The current Operational Programmes expand on this, on the basis of the increasing cooperation and efforts to ensure complementarities. </w:t>
      </w:r>
    </w:p>
    <w:p w:rsidR="00B438B7" w:rsidRPr="003F3792" w:rsidRDefault="00B438B7" w:rsidP="00330F33">
      <w:pPr>
        <w:spacing w:after="180" w:line="276" w:lineRule="auto"/>
        <w:jc w:val="both"/>
        <w:rPr>
          <w:rFonts w:ascii="Verdana" w:hAnsi="Verdana" w:cs="Arial"/>
          <w:sz w:val="22"/>
          <w:szCs w:val="22"/>
        </w:rPr>
      </w:pPr>
      <w:r w:rsidRPr="003F3792">
        <w:rPr>
          <w:rFonts w:ascii="Verdana" w:hAnsi="Verdana" w:cs="Arial"/>
          <w:sz w:val="22"/>
          <w:szCs w:val="22"/>
        </w:rPr>
        <w:t xml:space="preserve">Arrangements for the coordination of the interregional cooperation programmes of the ETC goal include in particular the implementation of activities for which programmes could use and share their know-how and committed staff for the following actions: </w:t>
      </w:r>
    </w:p>
    <w:p w:rsidR="00B438B7" w:rsidRPr="003F3792" w:rsidRDefault="00B438B7" w:rsidP="00D67ECF">
      <w:pPr>
        <w:pStyle w:val="Paragraphedeliste1"/>
        <w:numPr>
          <w:ilvl w:val="0"/>
          <w:numId w:val="9"/>
        </w:numPr>
        <w:spacing w:after="180" w:line="276" w:lineRule="auto"/>
        <w:contextualSpacing/>
        <w:rPr>
          <w:rFonts w:ascii="Verdana" w:hAnsi="Verdana" w:cs="Arial"/>
          <w:sz w:val="22"/>
          <w:szCs w:val="22"/>
        </w:rPr>
      </w:pPr>
      <w:r w:rsidRPr="003F3792">
        <w:rPr>
          <w:rFonts w:ascii="Verdana" w:hAnsi="Verdana" w:cs="Arial"/>
          <w:sz w:val="22"/>
          <w:szCs w:val="22"/>
        </w:rPr>
        <w:t>Bilateral cooperation events</w:t>
      </w:r>
      <w:r w:rsidR="00B90A9F" w:rsidRPr="003F3792">
        <w:rPr>
          <w:rFonts w:ascii="Verdana" w:hAnsi="Verdana" w:cs="Arial"/>
          <w:sz w:val="22"/>
          <w:szCs w:val="22"/>
        </w:rPr>
        <w:t xml:space="preserve"> (Open</w:t>
      </w:r>
      <w:r w:rsidR="004F5F2B" w:rsidRPr="003F3792">
        <w:rPr>
          <w:rFonts w:ascii="Verdana" w:hAnsi="Verdana" w:cs="Arial"/>
          <w:sz w:val="22"/>
          <w:szCs w:val="22"/>
        </w:rPr>
        <w:t xml:space="preserve"> </w:t>
      </w:r>
      <w:r w:rsidR="00B90A9F" w:rsidRPr="003F3792">
        <w:rPr>
          <w:rFonts w:ascii="Verdana" w:hAnsi="Verdana" w:cs="Arial"/>
          <w:sz w:val="22"/>
          <w:szCs w:val="22"/>
        </w:rPr>
        <w:t>days, thematic events, etc.)</w:t>
      </w:r>
    </w:p>
    <w:p w:rsidR="00B438B7" w:rsidRPr="003F3792" w:rsidRDefault="00B438B7" w:rsidP="00D67ECF">
      <w:pPr>
        <w:pStyle w:val="Paragraphedeliste1"/>
        <w:numPr>
          <w:ilvl w:val="0"/>
          <w:numId w:val="9"/>
        </w:numPr>
        <w:spacing w:after="180" w:line="276" w:lineRule="auto"/>
        <w:contextualSpacing/>
        <w:rPr>
          <w:rFonts w:ascii="Verdana" w:hAnsi="Verdana" w:cs="Arial"/>
          <w:sz w:val="22"/>
          <w:szCs w:val="22"/>
        </w:rPr>
      </w:pPr>
      <w:r w:rsidRPr="003F3792">
        <w:rPr>
          <w:rFonts w:ascii="Verdana" w:hAnsi="Verdana" w:cs="Arial"/>
          <w:sz w:val="22"/>
          <w:szCs w:val="22"/>
        </w:rPr>
        <w:t>Joint capitalisation and dissemination activities (development and promotion of European indicators, tools, data and methods, proven good practices)</w:t>
      </w:r>
    </w:p>
    <w:p w:rsidR="00B438B7" w:rsidRPr="003F3792" w:rsidRDefault="00B438B7" w:rsidP="00D67ECF">
      <w:pPr>
        <w:pStyle w:val="Paragraphedeliste1"/>
        <w:numPr>
          <w:ilvl w:val="0"/>
          <w:numId w:val="9"/>
        </w:numPr>
        <w:spacing w:after="180" w:line="276" w:lineRule="auto"/>
        <w:contextualSpacing/>
        <w:rPr>
          <w:rFonts w:ascii="Verdana" w:hAnsi="Verdana" w:cs="Arial"/>
          <w:sz w:val="22"/>
          <w:szCs w:val="22"/>
        </w:rPr>
      </w:pPr>
      <w:r w:rsidRPr="003F3792">
        <w:rPr>
          <w:rFonts w:ascii="Verdana" w:hAnsi="Verdana" w:cs="Arial"/>
          <w:sz w:val="22"/>
          <w:szCs w:val="22"/>
        </w:rPr>
        <w:t xml:space="preserve">Joint exhibitions, workshops, information / awareness-raising actions concerning territorial development. </w:t>
      </w:r>
    </w:p>
    <w:p w:rsidR="0045684A" w:rsidRPr="004F5F2B" w:rsidRDefault="0045684A">
      <w:pPr>
        <w:spacing w:after="200" w:line="276" w:lineRule="auto"/>
        <w:rPr>
          <w:rFonts w:ascii="Verdana" w:eastAsia="Arial" w:hAnsi="Verdana" w:cs="Arial"/>
          <w:color w:val="1F497D"/>
        </w:rPr>
      </w:pPr>
    </w:p>
    <w:p w:rsidR="0045684A" w:rsidRPr="004F5F2B" w:rsidRDefault="0045684A">
      <w:pPr>
        <w:spacing w:after="200" w:line="276" w:lineRule="auto"/>
        <w:rPr>
          <w:rFonts w:ascii="Verdana" w:eastAsia="Arial" w:hAnsi="Verdana" w:cs="Arial"/>
          <w:color w:val="1F497D"/>
        </w:rPr>
      </w:pPr>
    </w:p>
    <w:p w:rsidR="0045684A" w:rsidRPr="004F5F2B" w:rsidRDefault="0045684A">
      <w:pPr>
        <w:spacing w:after="200" w:line="276" w:lineRule="auto"/>
        <w:rPr>
          <w:rFonts w:ascii="Verdana" w:eastAsia="Arial" w:hAnsi="Verdana" w:cs="Arial"/>
          <w:color w:val="1F497D"/>
        </w:rPr>
      </w:pPr>
    </w:p>
    <w:p w:rsidR="0045684A" w:rsidRPr="004F5F2B" w:rsidRDefault="0045684A">
      <w:pPr>
        <w:spacing w:after="200" w:line="276" w:lineRule="auto"/>
        <w:rPr>
          <w:rFonts w:ascii="Verdana" w:eastAsia="Arial" w:hAnsi="Verdana" w:cs="Arial"/>
          <w:color w:val="1F497D"/>
        </w:rPr>
      </w:pPr>
    </w:p>
    <w:p w:rsidR="00AC759C" w:rsidRPr="004F5F2B" w:rsidRDefault="00AC759C" w:rsidP="0045684A">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45684A" w:rsidRPr="004F5F2B" w:rsidRDefault="0045684A" w:rsidP="0045684A">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r w:rsidRPr="004F5F2B">
        <w:rPr>
          <w:rFonts w:ascii="Verdana" w:hAnsi="Verdana"/>
          <w:b/>
          <w:bCs/>
        </w:rPr>
        <w:t>SECTION SEVEN</w:t>
      </w:r>
    </w:p>
    <w:p w:rsidR="0045684A" w:rsidRPr="004F5F2B" w:rsidRDefault="0045684A" w:rsidP="0045684A">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45684A" w:rsidRPr="004F5F2B" w:rsidRDefault="0045684A" w:rsidP="0045684A">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cs="Arial"/>
          <w:b/>
          <w:bCs/>
          <w:kern w:val="36"/>
          <w:sz w:val="36"/>
          <w:szCs w:val="36"/>
        </w:rPr>
      </w:pPr>
      <w:r w:rsidRPr="004F5F2B">
        <w:rPr>
          <w:rFonts w:ascii="Verdana" w:hAnsi="Verdana" w:cs="Arial"/>
          <w:b/>
          <w:bCs/>
          <w:kern w:val="36"/>
          <w:sz w:val="36"/>
          <w:szCs w:val="36"/>
        </w:rPr>
        <w:t>Reduction of administrative burden</w:t>
      </w:r>
    </w:p>
    <w:p w:rsidR="0045684A" w:rsidRPr="004F5F2B" w:rsidRDefault="0045684A" w:rsidP="0045684A">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sz w:val="36"/>
          <w:szCs w:val="36"/>
        </w:rPr>
      </w:pPr>
      <w:r w:rsidRPr="004F5F2B">
        <w:rPr>
          <w:rFonts w:ascii="Verdana" w:hAnsi="Verdana" w:cs="Arial"/>
          <w:b/>
          <w:bCs/>
          <w:kern w:val="36"/>
          <w:sz w:val="36"/>
          <w:szCs w:val="36"/>
        </w:rPr>
        <w:t>For beneficiaries</w:t>
      </w:r>
    </w:p>
    <w:p w:rsidR="0045684A" w:rsidRPr="004F5F2B" w:rsidRDefault="0045684A" w:rsidP="0045684A">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45684A" w:rsidRPr="004F5F2B" w:rsidRDefault="0045684A" w:rsidP="0045684A">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45684A" w:rsidRPr="004F5F2B" w:rsidRDefault="0045684A" w:rsidP="00D67ECF">
      <w:pPr>
        <w:pStyle w:val="Paragraphedeliste3"/>
        <w:numPr>
          <w:ilvl w:val="2"/>
          <w:numId w:val="11"/>
        </w:num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sz w:val="24"/>
          <w:szCs w:val="24"/>
        </w:rPr>
      </w:pPr>
      <w:r w:rsidRPr="004F5F2B">
        <w:rPr>
          <w:rFonts w:ascii="Verdana" w:hAnsi="Verdana"/>
          <w:b/>
          <w:bCs/>
          <w:sz w:val="24"/>
          <w:szCs w:val="24"/>
        </w:rPr>
        <w:t>Assessment of the administrative burden of beneficiaries</w:t>
      </w:r>
    </w:p>
    <w:p w:rsidR="0045684A" w:rsidRPr="004F5F2B" w:rsidRDefault="0045684A" w:rsidP="0045684A">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45684A" w:rsidRPr="004F5F2B" w:rsidRDefault="0045684A" w:rsidP="00D67ECF">
      <w:pPr>
        <w:pStyle w:val="Paragraphedeliste3"/>
        <w:numPr>
          <w:ilvl w:val="2"/>
          <w:numId w:val="11"/>
        </w:num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sz w:val="24"/>
          <w:szCs w:val="24"/>
        </w:rPr>
      </w:pPr>
      <w:r w:rsidRPr="004F5F2B">
        <w:rPr>
          <w:rFonts w:ascii="Verdana" w:hAnsi="Verdana"/>
          <w:b/>
          <w:bCs/>
          <w:sz w:val="24"/>
          <w:szCs w:val="24"/>
        </w:rPr>
        <w:t>Main actions planned to reduce the administrative burden of URBACT III</w:t>
      </w:r>
    </w:p>
    <w:p w:rsidR="0045684A" w:rsidRPr="004F5F2B" w:rsidRDefault="0045684A" w:rsidP="0045684A">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45684A" w:rsidRPr="004F5F2B" w:rsidRDefault="0045684A" w:rsidP="00D67ECF">
      <w:pPr>
        <w:pStyle w:val="Paragraphedeliste3"/>
        <w:numPr>
          <w:ilvl w:val="2"/>
          <w:numId w:val="11"/>
        </w:num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sz w:val="24"/>
          <w:szCs w:val="24"/>
        </w:rPr>
      </w:pPr>
      <w:r w:rsidRPr="004F5F2B">
        <w:rPr>
          <w:rFonts w:ascii="Verdana" w:hAnsi="Verdana"/>
          <w:b/>
          <w:bCs/>
          <w:sz w:val="24"/>
          <w:szCs w:val="24"/>
        </w:rPr>
        <w:t>E-Cohesion</w:t>
      </w:r>
    </w:p>
    <w:p w:rsidR="0045684A" w:rsidRPr="004F5F2B" w:rsidRDefault="0045684A" w:rsidP="0045684A">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45684A" w:rsidRPr="004F5F2B" w:rsidRDefault="0045684A" w:rsidP="0045684A">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45684A" w:rsidRPr="004F5F2B" w:rsidRDefault="0045684A">
      <w:pPr>
        <w:spacing w:after="200" w:line="276" w:lineRule="auto"/>
        <w:rPr>
          <w:rFonts w:ascii="Verdana" w:eastAsia="Arial" w:hAnsi="Verdana" w:cs="Arial"/>
          <w:color w:val="1F497D"/>
        </w:rPr>
      </w:pPr>
    </w:p>
    <w:p w:rsidR="00DB7DC7" w:rsidRPr="004F5F2B" w:rsidRDefault="00DB7DC7">
      <w:pPr>
        <w:spacing w:after="200" w:line="276" w:lineRule="auto"/>
        <w:rPr>
          <w:rFonts w:ascii="Verdana" w:eastAsia="Arial" w:hAnsi="Verdana" w:cs="Arial"/>
          <w:color w:val="1F497D"/>
        </w:rPr>
      </w:pPr>
      <w:r w:rsidRPr="004F5F2B">
        <w:rPr>
          <w:rFonts w:ascii="Verdana" w:eastAsia="Arial" w:hAnsi="Verdana" w:cs="Arial"/>
          <w:color w:val="1F497D"/>
        </w:rPr>
        <w:br w:type="page"/>
      </w:r>
    </w:p>
    <w:p w:rsidR="00DB7DC7" w:rsidRPr="004F5F2B" w:rsidRDefault="00DB7DC7" w:rsidP="00A40420">
      <w:pPr>
        <w:pStyle w:val="StyleHeading1Hanging085cm"/>
      </w:pPr>
      <w:bookmarkStart w:id="56" w:name="_Toc248419285"/>
      <w:bookmarkStart w:id="57" w:name="_Toc384648468"/>
      <w:r w:rsidRPr="004F5F2B">
        <w:t>Section 7. Reduction of administrative burden for beneficiaries</w:t>
      </w:r>
      <w:bookmarkEnd w:id="56"/>
      <w:bookmarkEnd w:id="57"/>
    </w:p>
    <w:p w:rsidR="00DB7DC7" w:rsidRPr="004F5F2B" w:rsidRDefault="00DB7DC7" w:rsidP="00330F33">
      <w:pPr>
        <w:spacing w:after="180" w:line="276" w:lineRule="auto"/>
        <w:jc w:val="both"/>
        <w:outlineLvl w:val="2"/>
        <w:rPr>
          <w:rFonts w:ascii="Verdana" w:hAnsi="Verdana"/>
          <w:b/>
          <w:bCs/>
        </w:rPr>
      </w:pPr>
      <w:bookmarkStart w:id="58" w:name="_Toc248419286"/>
    </w:p>
    <w:p w:rsidR="00DB7DC7" w:rsidRPr="004F5F2B" w:rsidRDefault="00DB7DC7" w:rsidP="00330F33">
      <w:pPr>
        <w:pStyle w:val="2"/>
        <w:spacing w:after="180" w:line="276" w:lineRule="auto"/>
      </w:pPr>
      <w:bookmarkStart w:id="59" w:name="_Toc384648469"/>
      <w:r w:rsidRPr="004F5F2B">
        <w:t>7.1.1</w:t>
      </w:r>
      <w:r w:rsidR="007B5752">
        <w:t>.</w:t>
      </w:r>
      <w:r w:rsidR="007B5752">
        <w:tab/>
      </w:r>
      <w:r w:rsidRPr="004F5F2B">
        <w:t>Assessment of the administrative burden of beneficiaries</w:t>
      </w:r>
      <w:bookmarkEnd w:id="58"/>
      <w:bookmarkEnd w:id="59"/>
      <w:r w:rsidRPr="004F5F2B">
        <w:t xml:space="preserve"> </w:t>
      </w:r>
    </w:p>
    <w:p w:rsidR="00DB7DC7" w:rsidRPr="003F3792" w:rsidRDefault="00DB7DC7" w:rsidP="00330F33">
      <w:pPr>
        <w:spacing w:after="180" w:line="276" w:lineRule="auto"/>
        <w:jc w:val="both"/>
        <w:rPr>
          <w:rFonts w:ascii="Verdana" w:hAnsi="Verdana"/>
          <w:sz w:val="22"/>
          <w:szCs w:val="22"/>
        </w:rPr>
      </w:pPr>
      <w:r w:rsidRPr="003F3792">
        <w:rPr>
          <w:rFonts w:ascii="Verdana" w:hAnsi="Verdana" w:cs="Arial"/>
          <w:sz w:val="22"/>
          <w:szCs w:val="22"/>
        </w:rPr>
        <w:t xml:space="preserve">The mid-term evaluation of the URBACT II programme (2010) identified some sources of complexity in the programme’s rules and procedures leaving room for simplification </w:t>
      </w:r>
      <w:r w:rsidR="008C5AFC" w:rsidRPr="003F3792">
        <w:rPr>
          <w:rFonts w:ascii="Verdana" w:hAnsi="Verdana" w:cs="Arial"/>
          <w:sz w:val="22"/>
          <w:szCs w:val="22"/>
        </w:rPr>
        <w:t xml:space="preserve">particularly </w:t>
      </w:r>
      <w:r w:rsidRPr="003F3792">
        <w:rPr>
          <w:rFonts w:ascii="Verdana" w:hAnsi="Verdana" w:cs="Arial"/>
          <w:sz w:val="22"/>
          <w:szCs w:val="22"/>
        </w:rPr>
        <w:t xml:space="preserve">in the following areas: </w:t>
      </w:r>
    </w:p>
    <w:p w:rsidR="00DB7DC7" w:rsidRPr="003F3792" w:rsidRDefault="00DB7DC7" w:rsidP="00D67ECF">
      <w:pPr>
        <w:pStyle w:val="Paragraphedeliste3"/>
        <w:numPr>
          <w:ilvl w:val="0"/>
          <w:numId w:val="55"/>
        </w:numPr>
        <w:spacing w:after="180"/>
        <w:ind w:left="714" w:hanging="357"/>
        <w:jc w:val="both"/>
        <w:rPr>
          <w:rFonts w:ascii="Verdana" w:eastAsia="Times New Roman" w:hAnsi="Verdana"/>
          <w:lang w:eastAsia="fr-FR"/>
        </w:rPr>
      </w:pPr>
      <w:r w:rsidRPr="003F3792">
        <w:rPr>
          <w:rFonts w:ascii="Verdana" w:eastAsia="Times New Roman" w:hAnsi="Verdana" w:cs="Helvetica"/>
          <w:lang w:eastAsia="fr-FR"/>
        </w:rPr>
        <w:t>T</w:t>
      </w:r>
      <w:r w:rsidRPr="003F3792">
        <w:rPr>
          <w:rFonts w:ascii="Verdana" w:eastAsia="Times New Roman" w:hAnsi="Verdana" w:cs="Arial"/>
          <w:lang w:eastAsia="fr-FR"/>
        </w:rPr>
        <w:t xml:space="preserve">he general set-up and implementation framework of the programme (e.g. thematic priority axes for cross cutting activities, intervention rates varying for different activities </w:t>
      </w:r>
      <w:r w:rsidR="004F5F2B" w:rsidRPr="003F3792">
        <w:rPr>
          <w:rFonts w:ascii="Verdana" w:eastAsia="Times New Roman" w:hAnsi="Verdana" w:cs="Arial"/>
          <w:lang w:eastAsia="fr-FR"/>
        </w:rPr>
        <w:t>etc.</w:t>
      </w:r>
      <w:r w:rsidRPr="003F3792">
        <w:rPr>
          <w:rFonts w:ascii="Verdana" w:eastAsia="Times New Roman" w:hAnsi="Verdana" w:cs="Arial"/>
          <w:lang w:eastAsia="fr-FR"/>
        </w:rPr>
        <w:t xml:space="preserve">). </w:t>
      </w:r>
    </w:p>
    <w:p w:rsidR="00DB7DC7" w:rsidRPr="003F3792" w:rsidRDefault="00DB7DC7" w:rsidP="00D67ECF">
      <w:pPr>
        <w:pStyle w:val="Paragraphedeliste3"/>
        <w:numPr>
          <w:ilvl w:val="0"/>
          <w:numId w:val="55"/>
        </w:numPr>
        <w:spacing w:after="180"/>
        <w:ind w:left="714" w:hanging="357"/>
        <w:jc w:val="both"/>
        <w:rPr>
          <w:rFonts w:ascii="Verdana" w:eastAsia="Times New Roman" w:hAnsi="Verdana"/>
          <w:lang w:eastAsia="fr-FR"/>
        </w:rPr>
      </w:pPr>
      <w:r w:rsidRPr="003F3792">
        <w:rPr>
          <w:rFonts w:ascii="Verdana" w:eastAsia="Times New Roman" w:hAnsi="Verdana" w:cs="Arial"/>
          <w:lang w:eastAsia="fr-FR"/>
        </w:rPr>
        <w:t>The administrative and financial management &amp; reporting at the level of projects</w:t>
      </w:r>
      <w:r w:rsidR="008C5AFC" w:rsidRPr="003F3792">
        <w:rPr>
          <w:rFonts w:ascii="Verdana" w:eastAsia="Times New Roman" w:hAnsi="Verdana" w:cs="Arial"/>
          <w:lang w:eastAsia="fr-FR"/>
        </w:rPr>
        <w:t xml:space="preserve"> which could be considered disproportionate considering the level of funds concerned</w:t>
      </w:r>
      <w:r w:rsidRPr="003F3792">
        <w:rPr>
          <w:rFonts w:ascii="Verdana" w:eastAsia="Times New Roman" w:hAnsi="Verdana" w:cs="Arial"/>
          <w:lang w:eastAsia="fr-FR"/>
        </w:rPr>
        <w:t xml:space="preserve">. </w:t>
      </w:r>
    </w:p>
    <w:p w:rsidR="00DB7DC7" w:rsidRPr="003F3792" w:rsidRDefault="00330F33" w:rsidP="00330F33">
      <w:pPr>
        <w:spacing w:after="180" w:line="276" w:lineRule="auto"/>
        <w:jc w:val="both"/>
        <w:rPr>
          <w:rFonts w:ascii="Verdana" w:hAnsi="Verdana" w:cs="Arial"/>
          <w:sz w:val="22"/>
          <w:szCs w:val="22"/>
        </w:rPr>
      </w:pPr>
      <w:r>
        <w:rPr>
          <w:rFonts w:ascii="Verdana" w:hAnsi="Verdana" w:cs="Arial"/>
          <w:sz w:val="22"/>
          <w:szCs w:val="22"/>
        </w:rPr>
        <w:t xml:space="preserve">In addition, the </w:t>
      </w:r>
      <w:r w:rsidR="00DB7DC7" w:rsidRPr="003F3792">
        <w:rPr>
          <w:rFonts w:ascii="Verdana" w:hAnsi="Verdana" w:cs="Arial"/>
          <w:sz w:val="22"/>
          <w:szCs w:val="22"/>
        </w:rPr>
        <w:t>beneficiaries themselves have identified</w:t>
      </w:r>
      <w:r>
        <w:rPr>
          <w:rFonts w:ascii="Verdana" w:hAnsi="Verdana" w:cs="Arial"/>
          <w:sz w:val="22"/>
          <w:szCs w:val="22"/>
        </w:rPr>
        <w:t>,</w:t>
      </w:r>
      <w:r w:rsidR="00DB7DC7" w:rsidRPr="003F3792">
        <w:rPr>
          <w:rFonts w:ascii="Verdana" w:hAnsi="Verdana" w:cs="Arial"/>
          <w:sz w:val="22"/>
          <w:szCs w:val="22"/>
        </w:rPr>
        <w:t xml:space="preserve"> through questionnaires and surveys</w:t>
      </w:r>
      <w:r>
        <w:rPr>
          <w:rFonts w:ascii="Verdana" w:hAnsi="Verdana" w:cs="Arial"/>
          <w:sz w:val="22"/>
          <w:szCs w:val="22"/>
        </w:rPr>
        <w:t>,</w:t>
      </w:r>
      <w:r w:rsidR="00DB7DC7" w:rsidRPr="003F3792">
        <w:rPr>
          <w:rFonts w:ascii="Verdana" w:hAnsi="Verdana" w:cs="Arial"/>
          <w:sz w:val="22"/>
          <w:szCs w:val="22"/>
        </w:rPr>
        <w:t xml:space="preserve"> a need for simplification</w:t>
      </w:r>
      <w:r w:rsidR="008C5AFC" w:rsidRPr="003F3792">
        <w:rPr>
          <w:rFonts w:ascii="Verdana" w:hAnsi="Verdana" w:cs="Arial"/>
          <w:sz w:val="22"/>
          <w:szCs w:val="22"/>
        </w:rPr>
        <w:t xml:space="preserve"> of administration</w:t>
      </w:r>
      <w:r w:rsidR="00DB7DC7" w:rsidRPr="003F3792">
        <w:rPr>
          <w:rFonts w:ascii="Verdana" w:hAnsi="Verdana" w:cs="Arial"/>
          <w:sz w:val="22"/>
          <w:szCs w:val="22"/>
        </w:rPr>
        <w:t xml:space="preserve"> especially linked to:</w:t>
      </w:r>
    </w:p>
    <w:p w:rsidR="00DB7DC7" w:rsidRPr="003F3792" w:rsidRDefault="00DB7DC7" w:rsidP="00D67ECF">
      <w:pPr>
        <w:pStyle w:val="Paragraphedeliste3"/>
        <w:numPr>
          <w:ilvl w:val="0"/>
          <w:numId w:val="56"/>
        </w:numPr>
        <w:spacing w:after="180"/>
        <w:ind w:left="714" w:hanging="357"/>
        <w:jc w:val="both"/>
        <w:rPr>
          <w:rFonts w:ascii="Verdana" w:eastAsia="Times New Roman" w:hAnsi="Verdana" w:cs="Arial"/>
          <w:lang w:eastAsia="fr-FR"/>
        </w:rPr>
      </w:pPr>
      <w:r w:rsidRPr="003F3792">
        <w:rPr>
          <w:rFonts w:ascii="Verdana" w:eastAsia="Times New Roman" w:hAnsi="Verdana" w:cs="Arial"/>
          <w:lang w:eastAsia="fr-FR"/>
        </w:rPr>
        <w:t>Project phasing, reporting and payments</w:t>
      </w:r>
    </w:p>
    <w:p w:rsidR="00DB7DC7" w:rsidRPr="003F3792" w:rsidRDefault="00DB7DC7" w:rsidP="00D67ECF">
      <w:pPr>
        <w:pStyle w:val="Paragraphedeliste3"/>
        <w:numPr>
          <w:ilvl w:val="0"/>
          <w:numId w:val="56"/>
        </w:numPr>
        <w:spacing w:after="180"/>
        <w:ind w:left="714" w:hanging="357"/>
        <w:jc w:val="both"/>
        <w:rPr>
          <w:rFonts w:ascii="Verdana" w:eastAsia="Times New Roman" w:hAnsi="Verdana" w:cs="Arial"/>
          <w:lang w:eastAsia="fr-FR"/>
        </w:rPr>
      </w:pPr>
      <w:r w:rsidRPr="003F3792">
        <w:rPr>
          <w:rFonts w:ascii="Verdana" w:eastAsia="Times New Roman" w:hAnsi="Verdana" w:cs="Arial"/>
          <w:lang w:eastAsia="fr-FR"/>
        </w:rPr>
        <w:t>Project budget simplifications (fewer budget categories, clearer definition of eligible</w:t>
      </w:r>
      <w:r w:rsidR="008C5AFC" w:rsidRPr="003F3792">
        <w:rPr>
          <w:rFonts w:ascii="Verdana" w:eastAsia="Times New Roman" w:hAnsi="Verdana" w:cs="Arial"/>
          <w:lang w:eastAsia="fr-FR"/>
        </w:rPr>
        <w:t>/ineligible</w:t>
      </w:r>
      <w:r w:rsidRPr="003F3792">
        <w:rPr>
          <w:rFonts w:ascii="Verdana" w:eastAsia="Times New Roman" w:hAnsi="Verdana" w:cs="Arial"/>
          <w:lang w:eastAsia="fr-FR"/>
        </w:rPr>
        <w:t xml:space="preserve"> costs)</w:t>
      </w:r>
    </w:p>
    <w:p w:rsidR="00DB7DC7" w:rsidRPr="003F3792" w:rsidRDefault="00DB7DC7" w:rsidP="00D67ECF">
      <w:pPr>
        <w:pStyle w:val="Paragraphedeliste3"/>
        <w:numPr>
          <w:ilvl w:val="0"/>
          <w:numId w:val="56"/>
        </w:numPr>
        <w:spacing w:after="180"/>
        <w:ind w:left="714" w:hanging="357"/>
        <w:jc w:val="both"/>
        <w:rPr>
          <w:rFonts w:ascii="Verdana" w:eastAsia="Times New Roman" w:hAnsi="Verdana" w:cs="Arial"/>
          <w:lang w:eastAsia="fr-FR"/>
        </w:rPr>
      </w:pPr>
      <w:r w:rsidRPr="003F3792">
        <w:rPr>
          <w:rFonts w:ascii="Verdana" w:eastAsia="Times New Roman" w:hAnsi="Verdana" w:cs="Arial"/>
          <w:lang w:eastAsia="fr-FR"/>
        </w:rPr>
        <w:t>Project documentation (contracts, audit trails, approval of First Level Control)</w:t>
      </w:r>
    </w:p>
    <w:p w:rsidR="00DB7DC7" w:rsidRPr="003F3792" w:rsidRDefault="00DB7DC7" w:rsidP="00D67ECF">
      <w:pPr>
        <w:pStyle w:val="Paragraphedeliste3"/>
        <w:numPr>
          <w:ilvl w:val="0"/>
          <w:numId w:val="56"/>
        </w:numPr>
        <w:spacing w:after="180"/>
        <w:ind w:left="714" w:hanging="357"/>
        <w:jc w:val="both"/>
        <w:rPr>
          <w:rFonts w:ascii="Verdana" w:eastAsia="Times New Roman" w:hAnsi="Verdana" w:cs="Arial"/>
          <w:lang w:eastAsia="fr-FR"/>
        </w:rPr>
      </w:pPr>
      <w:r w:rsidRPr="003F3792">
        <w:rPr>
          <w:rFonts w:ascii="Verdana" w:eastAsia="Times New Roman" w:hAnsi="Verdana" w:cs="Arial"/>
          <w:lang w:eastAsia="fr-FR"/>
        </w:rPr>
        <w:t>Expertise (contracting, reporting)</w:t>
      </w:r>
      <w:r w:rsidR="008C5AFC" w:rsidRPr="003F3792">
        <w:rPr>
          <w:rFonts w:ascii="Verdana" w:eastAsia="Times New Roman" w:hAnsi="Verdana" w:cs="Arial"/>
          <w:lang w:eastAsia="fr-FR"/>
        </w:rPr>
        <w:t xml:space="preserve"> of project and programme level expertise</w:t>
      </w:r>
    </w:p>
    <w:p w:rsidR="00DB7DC7" w:rsidRPr="004F5F2B" w:rsidRDefault="007B5752" w:rsidP="00330F33">
      <w:pPr>
        <w:pStyle w:val="2"/>
        <w:spacing w:after="180" w:line="276" w:lineRule="auto"/>
      </w:pPr>
      <w:bookmarkStart w:id="60" w:name="_Toc248419287"/>
      <w:bookmarkStart w:id="61" w:name="_Toc384648470"/>
      <w:r>
        <w:t>7.1.2.</w:t>
      </w:r>
      <w:r>
        <w:tab/>
      </w:r>
      <w:r w:rsidR="00DB7DC7" w:rsidRPr="004F5F2B">
        <w:t xml:space="preserve">Main actions planned to reduce the administrative burden of </w:t>
      </w:r>
      <w:bookmarkEnd w:id="60"/>
      <w:r w:rsidR="00DB7DC7" w:rsidRPr="004F5F2B">
        <w:t>URBACT III</w:t>
      </w:r>
      <w:bookmarkEnd w:id="61"/>
    </w:p>
    <w:p w:rsidR="00DB7DC7" w:rsidRPr="003F3792" w:rsidRDefault="00DB7DC7" w:rsidP="00330F33">
      <w:pPr>
        <w:spacing w:after="180" w:line="276" w:lineRule="auto"/>
        <w:jc w:val="both"/>
        <w:rPr>
          <w:rFonts w:ascii="Verdana" w:hAnsi="Verdana"/>
          <w:sz w:val="22"/>
          <w:szCs w:val="22"/>
        </w:rPr>
      </w:pPr>
      <w:r w:rsidRPr="003F3792">
        <w:rPr>
          <w:rFonts w:ascii="Verdana" w:hAnsi="Verdana"/>
          <w:sz w:val="22"/>
          <w:szCs w:val="22"/>
        </w:rPr>
        <w:t>Already during the 2007-2013 period several steps were taken by the URBACT II programme to reduce or remove some of the complexities related to administrative and financial management and reporting at both project and programme level.  URBACT III will build on these experiences and take further steps to reduce the administrative burden for beneficiaries.</w:t>
      </w:r>
    </w:p>
    <w:p w:rsidR="00330F33" w:rsidRDefault="00330F33" w:rsidP="00330F33">
      <w:pPr>
        <w:spacing w:after="180" w:line="276" w:lineRule="auto"/>
        <w:jc w:val="both"/>
        <w:rPr>
          <w:rFonts w:ascii="Verdana" w:hAnsi="Verdana"/>
          <w:b/>
          <w:sz w:val="22"/>
          <w:szCs w:val="22"/>
          <w:u w:val="single"/>
        </w:rPr>
      </w:pPr>
    </w:p>
    <w:p w:rsidR="00DB7DC7" w:rsidRPr="003F3792" w:rsidRDefault="00DB7DC7" w:rsidP="00330F33">
      <w:pPr>
        <w:spacing w:after="180" w:line="276" w:lineRule="auto"/>
        <w:jc w:val="both"/>
        <w:rPr>
          <w:rFonts w:ascii="Verdana" w:hAnsi="Verdana"/>
          <w:b/>
          <w:sz w:val="22"/>
          <w:szCs w:val="22"/>
          <w:u w:val="single"/>
        </w:rPr>
      </w:pPr>
      <w:r w:rsidRPr="003F3792">
        <w:rPr>
          <w:rFonts w:ascii="Verdana" w:hAnsi="Verdana"/>
          <w:b/>
          <w:sz w:val="22"/>
          <w:szCs w:val="22"/>
          <w:u w:val="single"/>
        </w:rPr>
        <w:t>Programme Management</w:t>
      </w:r>
    </w:p>
    <w:p w:rsidR="00DB7DC7" w:rsidRPr="003F3792" w:rsidRDefault="00DB7DC7" w:rsidP="00330F33">
      <w:pPr>
        <w:spacing w:after="180" w:line="276" w:lineRule="auto"/>
        <w:jc w:val="both"/>
        <w:rPr>
          <w:rFonts w:ascii="Verdana" w:hAnsi="Verdana"/>
          <w:sz w:val="22"/>
          <w:szCs w:val="22"/>
        </w:rPr>
      </w:pPr>
      <w:r w:rsidRPr="003F3792">
        <w:rPr>
          <w:rFonts w:ascii="Verdana" w:hAnsi="Verdana"/>
          <w:sz w:val="22"/>
          <w:szCs w:val="22"/>
        </w:rPr>
        <w:t xml:space="preserve">The new programme structure developed around one </w:t>
      </w:r>
      <w:r w:rsidR="008C5AFC" w:rsidRPr="003F3792">
        <w:rPr>
          <w:rFonts w:ascii="Verdana" w:hAnsi="Verdana"/>
          <w:sz w:val="22"/>
          <w:szCs w:val="22"/>
        </w:rPr>
        <w:t xml:space="preserve">single </w:t>
      </w:r>
      <w:r w:rsidRPr="003F3792">
        <w:rPr>
          <w:rFonts w:ascii="Verdana" w:hAnsi="Verdana"/>
          <w:sz w:val="22"/>
          <w:szCs w:val="22"/>
        </w:rPr>
        <w:t>thematic objective will significantly simplify the programme management.  As a large proportion of the programme budget is dedicated to capacity building, capitalization and communication activities which are led by the Managing Authority on behalf of all Member and Partner States it will be possible to significantly streamline the management of these activities.  Examples include:</w:t>
      </w:r>
    </w:p>
    <w:p w:rsidR="00DB7DC7" w:rsidRPr="003F3792" w:rsidRDefault="008C5AFC" w:rsidP="00D67ECF">
      <w:pPr>
        <w:pStyle w:val="Paragraphedeliste3"/>
        <w:numPr>
          <w:ilvl w:val="0"/>
          <w:numId w:val="57"/>
        </w:numPr>
        <w:spacing w:after="180"/>
        <w:contextualSpacing w:val="0"/>
        <w:jc w:val="both"/>
        <w:rPr>
          <w:rFonts w:ascii="Verdana" w:eastAsia="Times New Roman" w:hAnsi="Verdana"/>
          <w:lang w:eastAsia="fr-FR"/>
        </w:rPr>
      </w:pPr>
      <w:r w:rsidRPr="003F3792">
        <w:rPr>
          <w:rFonts w:ascii="Verdana" w:eastAsia="Times New Roman" w:hAnsi="Verdana"/>
          <w:lang w:eastAsia="fr-FR"/>
        </w:rPr>
        <w:t>It will be n</w:t>
      </w:r>
      <w:r w:rsidR="00DB7DC7" w:rsidRPr="003F3792">
        <w:rPr>
          <w:rFonts w:ascii="Verdana" w:eastAsia="Times New Roman" w:hAnsi="Verdana"/>
          <w:lang w:eastAsia="fr-FR"/>
        </w:rPr>
        <w:t xml:space="preserve">o longer necessary to split cross cutting projects (capitalization , communication </w:t>
      </w:r>
      <w:r w:rsidR="004F5F2B" w:rsidRPr="003F3792">
        <w:rPr>
          <w:rFonts w:ascii="Verdana" w:eastAsia="Times New Roman" w:hAnsi="Verdana"/>
          <w:lang w:eastAsia="fr-FR"/>
        </w:rPr>
        <w:t>etc.</w:t>
      </w:r>
      <w:r w:rsidR="00DB7DC7" w:rsidRPr="003F3792">
        <w:rPr>
          <w:rFonts w:ascii="Verdana" w:eastAsia="Times New Roman" w:hAnsi="Verdana"/>
          <w:lang w:eastAsia="fr-FR"/>
        </w:rPr>
        <w:t xml:space="preserve">) arbitrarily between thematic axes </w:t>
      </w:r>
      <w:r w:rsidRPr="003F3792">
        <w:rPr>
          <w:rFonts w:ascii="Verdana" w:eastAsia="Times New Roman" w:hAnsi="Verdana"/>
          <w:lang w:eastAsia="fr-FR"/>
        </w:rPr>
        <w:t xml:space="preserve">as </w:t>
      </w:r>
      <w:r w:rsidR="00DB7DC7" w:rsidRPr="003F3792">
        <w:rPr>
          <w:rFonts w:ascii="Verdana" w:eastAsia="Times New Roman" w:hAnsi="Verdana"/>
          <w:lang w:eastAsia="fr-FR"/>
        </w:rPr>
        <w:t>all costs can be grouped into one priority axe</w:t>
      </w:r>
    </w:p>
    <w:p w:rsidR="00DB7DC7" w:rsidRPr="003F3792" w:rsidRDefault="00DB7DC7" w:rsidP="00D67ECF">
      <w:pPr>
        <w:pStyle w:val="Paragraphedeliste3"/>
        <w:numPr>
          <w:ilvl w:val="0"/>
          <w:numId w:val="57"/>
        </w:numPr>
        <w:spacing w:after="180"/>
        <w:contextualSpacing w:val="0"/>
        <w:jc w:val="both"/>
        <w:rPr>
          <w:rFonts w:ascii="Verdana" w:eastAsia="Times New Roman" w:hAnsi="Verdana"/>
          <w:lang w:eastAsia="fr-FR"/>
        </w:rPr>
      </w:pPr>
      <w:r w:rsidRPr="003F3792">
        <w:rPr>
          <w:rFonts w:ascii="Verdana" w:eastAsia="Times New Roman" w:hAnsi="Verdana"/>
          <w:lang w:eastAsia="fr-FR"/>
        </w:rPr>
        <w:t>The number of projects led by the MA will be reduced and as a result the margin for error for cost distribution will be reduced</w:t>
      </w:r>
    </w:p>
    <w:p w:rsidR="00DB7DC7" w:rsidRPr="003F3792" w:rsidRDefault="00DB7DC7" w:rsidP="00D67ECF">
      <w:pPr>
        <w:pStyle w:val="Paragraphedeliste3"/>
        <w:numPr>
          <w:ilvl w:val="0"/>
          <w:numId w:val="57"/>
        </w:numPr>
        <w:spacing w:after="180"/>
        <w:contextualSpacing w:val="0"/>
        <w:jc w:val="both"/>
        <w:rPr>
          <w:rFonts w:ascii="Verdana" w:eastAsia="Times New Roman" w:hAnsi="Verdana"/>
          <w:lang w:eastAsia="fr-FR"/>
        </w:rPr>
      </w:pPr>
      <w:r w:rsidRPr="003F3792">
        <w:rPr>
          <w:rFonts w:ascii="Verdana" w:eastAsia="Times New Roman" w:hAnsi="Verdana"/>
          <w:lang w:eastAsia="fr-FR"/>
        </w:rPr>
        <w:t xml:space="preserve">MC members will be </w:t>
      </w:r>
      <w:r w:rsidR="004F5F2B" w:rsidRPr="003F3792">
        <w:rPr>
          <w:rFonts w:ascii="Verdana" w:eastAsia="Times New Roman" w:hAnsi="Verdana"/>
          <w:lang w:eastAsia="fr-FR"/>
        </w:rPr>
        <w:t>asked to provide more delegated</w:t>
      </w:r>
      <w:r w:rsidRPr="003F3792">
        <w:rPr>
          <w:rFonts w:ascii="Verdana" w:eastAsia="Times New Roman" w:hAnsi="Verdana"/>
          <w:lang w:eastAsia="fr-FR"/>
        </w:rPr>
        <w:t xml:space="preserve"> powers to the MA/JTS for minor reprogramming changes which have no consequences on the eligibility or the basic features and results of the projects</w:t>
      </w:r>
    </w:p>
    <w:p w:rsidR="00DB7DC7" w:rsidRPr="003F3792" w:rsidRDefault="00DB7DC7" w:rsidP="00D67ECF">
      <w:pPr>
        <w:pStyle w:val="Paragraphedeliste3"/>
        <w:numPr>
          <w:ilvl w:val="0"/>
          <w:numId w:val="57"/>
        </w:numPr>
        <w:spacing w:after="180"/>
        <w:contextualSpacing w:val="0"/>
        <w:jc w:val="both"/>
        <w:rPr>
          <w:rFonts w:ascii="Verdana" w:eastAsia="Times New Roman" w:hAnsi="Verdana"/>
          <w:lang w:eastAsia="fr-FR"/>
        </w:rPr>
      </w:pPr>
      <w:r w:rsidRPr="003F3792">
        <w:rPr>
          <w:rFonts w:ascii="Verdana" w:eastAsia="Times New Roman" w:hAnsi="Verdana"/>
          <w:lang w:eastAsia="fr-FR"/>
        </w:rPr>
        <w:t>One technical assistance project will be created for the whole period allowing for less reprogramming from year to year and ensuring a complete coverage of TA over the whole programme period</w:t>
      </w:r>
    </w:p>
    <w:p w:rsidR="00DB7DC7" w:rsidRPr="003F3792" w:rsidRDefault="00DB7DC7" w:rsidP="00D67ECF">
      <w:pPr>
        <w:pStyle w:val="Paragraphedeliste3"/>
        <w:numPr>
          <w:ilvl w:val="0"/>
          <w:numId w:val="57"/>
        </w:numPr>
        <w:spacing w:after="180"/>
        <w:contextualSpacing w:val="0"/>
        <w:jc w:val="both"/>
        <w:rPr>
          <w:rFonts w:ascii="Verdana" w:eastAsia="Times New Roman" w:hAnsi="Verdana"/>
          <w:lang w:eastAsia="fr-FR"/>
        </w:rPr>
      </w:pPr>
      <w:r w:rsidRPr="003F3792">
        <w:rPr>
          <w:rFonts w:ascii="Verdana" w:eastAsia="Times New Roman" w:hAnsi="Verdana"/>
          <w:lang w:eastAsia="fr-FR"/>
        </w:rPr>
        <w:t>The number of programme level indicators will be significantly reduced</w:t>
      </w:r>
      <w:r w:rsidR="008C5AFC" w:rsidRPr="003F3792">
        <w:rPr>
          <w:rFonts w:ascii="Verdana" w:eastAsia="Times New Roman" w:hAnsi="Verdana"/>
          <w:lang w:eastAsia="fr-FR"/>
        </w:rPr>
        <w:t xml:space="preserve"> which </w:t>
      </w:r>
      <w:r w:rsidR="004F5F2B" w:rsidRPr="003F3792">
        <w:rPr>
          <w:rFonts w:ascii="Verdana" w:eastAsia="Times New Roman" w:hAnsi="Verdana"/>
          <w:lang w:eastAsia="fr-FR"/>
        </w:rPr>
        <w:t xml:space="preserve">reduce the </w:t>
      </w:r>
      <w:r w:rsidR="008C5AFC" w:rsidRPr="003F3792">
        <w:rPr>
          <w:rFonts w:ascii="Verdana" w:eastAsia="Times New Roman" w:hAnsi="Verdana"/>
          <w:lang w:eastAsia="fr-FR"/>
        </w:rPr>
        <w:t>monitoring and reporting admi</w:t>
      </w:r>
      <w:r w:rsidR="004F5F2B" w:rsidRPr="003F3792">
        <w:rPr>
          <w:rFonts w:ascii="Verdana" w:eastAsia="Times New Roman" w:hAnsi="Verdana"/>
          <w:lang w:eastAsia="fr-FR"/>
        </w:rPr>
        <w:t>nistration.</w:t>
      </w:r>
    </w:p>
    <w:p w:rsidR="00330F33" w:rsidRDefault="00330F33" w:rsidP="00330F33">
      <w:pPr>
        <w:spacing w:after="180" w:line="276" w:lineRule="auto"/>
        <w:jc w:val="both"/>
        <w:rPr>
          <w:rFonts w:ascii="Verdana" w:hAnsi="Verdana"/>
          <w:b/>
          <w:sz w:val="22"/>
          <w:szCs w:val="22"/>
          <w:u w:val="single"/>
        </w:rPr>
      </w:pPr>
    </w:p>
    <w:p w:rsidR="00DB7DC7" w:rsidRPr="003F3792" w:rsidRDefault="00DB7DC7" w:rsidP="00330F33">
      <w:pPr>
        <w:spacing w:after="180" w:line="276" w:lineRule="auto"/>
        <w:jc w:val="both"/>
        <w:rPr>
          <w:rFonts w:ascii="Verdana" w:hAnsi="Verdana"/>
          <w:b/>
          <w:sz w:val="22"/>
          <w:szCs w:val="22"/>
          <w:u w:val="single"/>
        </w:rPr>
      </w:pPr>
      <w:r w:rsidRPr="003F3792">
        <w:rPr>
          <w:rFonts w:ascii="Verdana" w:hAnsi="Verdana"/>
          <w:b/>
          <w:sz w:val="22"/>
          <w:szCs w:val="22"/>
          <w:u w:val="single"/>
        </w:rPr>
        <w:t>Project Management</w:t>
      </w:r>
    </w:p>
    <w:p w:rsidR="00DB7DC7" w:rsidRPr="003F3792" w:rsidRDefault="00DB7DC7" w:rsidP="00330F33">
      <w:pPr>
        <w:spacing w:after="180" w:line="276" w:lineRule="auto"/>
        <w:jc w:val="both"/>
        <w:rPr>
          <w:rFonts w:ascii="Verdana" w:hAnsi="Verdana"/>
          <w:sz w:val="22"/>
          <w:szCs w:val="22"/>
        </w:rPr>
      </w:pPr>
      <w:r w:rsidRPr="003F3792">
        <w:rPr>
          <w:rFonts w:ascii="Verdana" w:hAnsi="Verdana"/>
          <w:sz w:val="22"/>
          <w:szCs w:val="22"/>
        </w:rPr>
        <w:t>There are several aspects to project management which have been explored with beneficiaries where proposals for simplification can be applied:</w:t>
      </w:r>
    </w:p>
    <w:p w:rsidR="00E73A82" w:rsidRPr="003F3792" w:rsidRDefault="00234456" w:rsidP="00330F33">
      <w:pPr>
        <w:pStyle w:val="Paragraphedeliste3"/>
        <w:spacing w:after="180"/>
        <w:ind w:left="0"/>
        <w:contextualSpacing w:val="0"/>
        <w:jc w:val="both"/>
        <w:rPr>
          <w:rFonts w:ascii="Verdana" w:hAnsi="Verdana"/>
        </w:rPr>
      </w:pPr>
      <w:r w:rsidRPr="003F3792">
        <w:rPr>
          <w:rFonts w:ascii="Verdana" w:eastAsia="Times New Roman" w:hAnsi="Verdana"/>
          <w:lang w:eastAsia="fr-FR"/>
        </w:rPr>
        <w:t xml:space="preserve">a) </w:t>
      </w:r>
      <w:r w:rsidR="00DB7DC7" w:rsidRPr="003F3792">
        <w:rPr>
          <w:rFonts w:ascii="Verdana" w:eastAsia="Times New Roman" w:hAnsi="Verdana"/>
          <w:lang w:eastAsia="fr-FR"/>
        </w:rPr>
        <w:t xml:space="preserve"> Flat rates</w:t>
      </w:r>
    </w:p>
    <w:p w:rsidR="00E73A82" w:rsidRPr="003F3792" w:rsidRDefault="002E5CA7" w:rsidP="00330F33">
      <w:pPr>
        <w:pStyle w:val="Paragraphedeliste3"/>
        <w:spacing w:after="180"/>
        <w:ind w:left="0"/>
        <w:jc w:val="both"/>
        <w:rPr>
          <w:rFonts w:ascii="Verdana" w:hAnsi="Verdana"/>
        </w:rPr>
      </w:pPr>
      <w:r w:rsidRPr="003F3792">
        <w:rPr>
          <w:rFonts w:ascii="Verdana" w:hAnsi="Verdana"/>
        </w:rPr>
        <w:t>The use of flat rates for staff cost as outlined in the 2014-2020 regulations 1303/2013 Article 68 is not appropriate for the URBACT III programme.  Experience shows that exchange projects have on average 40% of their total cost as staff time.  Therefore flat rates for staff costs will not apply to the URBACT programme.</w:t>
      </w:r>
    </w:p>
    <w:p w:rsidR="00E73A82" w:rsidRPr="003F3792" w:rsidRDefault="002E5CA7" w:rsidP="00330F33">
      <w:pPr>
        <w:pStyle w:val="afd"/>
        <w:spacing w:after="180"/>
        <w:jc w:val="both"/>
        <w:rPr>
          <w:rFonts w:ascii="Verdana" w:hAnsi="Verdana"/>
        </w:rPr>
      </w:pPr>
      <w:r w:rsidRPr="003F3792">
        <w:rPr>
          <w:rFonts w:ascii="Verdana" w:hAnsi="Verdana"/>
        </w:rPr>
        <w:t>Article 68 EU Regulation 1303/2013 allow for a flat rate to be used for indirect costs such as overheads and equipment.  The possibility for beneficiaries to use flat rates for overheads as outlined in the above mentioned regulation will remain open in the URBACT programme.</w:t>
      </w:r>
    </w:p>
    <w:p w:rsidR="00DB7DC7" w:rsidRPr="003F3792" w:rsidRDefault="00234456" w:rsidP="00330F33">
      <w:pPr>
        <w:pStyle w:val="Paragraphedeliste3"/>
        <w:spacing w:after="180"/>
        <w:ind w:left="0"/>
        <w:jc w:val="both"/>
        <w:rPr>
          <w:rFonts w:ascii="Verdana" w:eastAsia="Times New Roman" w:hAnsi="Verdana"/>
          <w:lang w:eastAsia="fr-FR"/>
        </w:rPr>
      </w:pPr>
      <w:r w:rsidRPr="003F3792">
        <w:rPr>
          <w:rFonts w:ascii="Verdana" w:eastAsia="Times New Roman" w:hAnsi="Verdana"/>
          <w:lang w:eastAsia="fr-FR"/>
        </w:rPr>
        <w:t xml:space="preserve">b) </w:t>
      </w:r>
      <w:r w:rsidR="00DB7DC7" w:rsidRPr="003F3792">
        <w:rPr>
          <w:rFonts w:ascii="Verdana" w:eastAsia="Times New Roman" w:hAnsi="Verdana"/>
          <w:lang w:eastAsia="fr-FR"/>
        </w:rPr>
        <w:t>Cost Categories and Simplified Cost Options</w:t>
      </w:r>
    </w:p>
    <w:p w:rsidR="00DB7DC7" w:rsidRPr="003F3792" w:rsidRDefault="00DB7DC7" w:rsidP="00330F33">
      <w:pPr>
        <w:spacing w:after="180" w:line="276" w:lineRule="auto"/>
        <w:jc w:val="both"/>
        <w:rPr>
          <w:rFonts w:ascii="Verdana" w:hAnsi="Verdana"/>
          <w:sz w:val="22"/>
          <w:szCs w:val="22"/>
        </w:rPr>
      </w:pPr>
      <w:r w:rsidRPr="003F3792">
        <w:rPr>
          <w:rFonts w:ascii="Verdana" w:hAnsi="Verdana"/>
          <w:sz w:val="22"/>
          <w:szCs w:val="22"/>
        </w:rPr>
        <w:t xml:space="preserve">The URBACT II programme has already reduced the number of cost categories and regrouped wherever possible different activities within one cost group. Further steps toward simplification will be taken. As far as finances are concerned, the use of simplified cost options for the reporting of costs under other budget lines will be proposed in order to reduce the administrative effort at all levels, making use of the possibilities offered by the 2014-2020 regulations. </w:t>
      </w:r>
    </w:p>
    <w:p w:rsidR="00DB7DC7" w:rsidRPr="003F3792" w:rsidRDefault="00DB7DC7" w:rsidP="00330F33">
      <w:pPr>
        <w:spacing w:after="180" w:line="276" w:lineRule="auto"/>
        <w:jc w:val="both"/>
        <w:rPr>
          <w:rFonts w:ascii="Verdana" w:hAnsi="Verdana"/>
          <w:sz w:val="22"/>
          <w:szCs w:val="22"/>
        </w:rPr>
      </w:pPr>
      <w:r w:rsidRPr="003F3792">
        <w:rPr>
          <w:rFonts w:ascii="Verdana" w:hAnsi="Verdana"/>
          <w:sz w:val="22"/>
          <w:szCs w:val="22"/>
        </w:rPr>
        <w:t>Additional guidance will be provided on project phasing and project management around work packages which will clarify tasks and simplify project management for beneficiaries.</w:t>
      </w:r>
      <w:r w:rsidR="008C5AFC" w:rsidRPr="003F3792">
        <w:rPr>
          <w:rFonts w:ascii="Verdana" w:hAnsi="Verdana"/>
          <w:sz w:val="22"/>
          <w:szCs w:val="22"/>
        </w:rPr>
        <w:t xml:space="preserve"> The JS will provide ongoing support and guidance to project beneficiaries to ensure that there is a clear understanding about how to avoid administrative burden using the procedures set up at programme level.  This guidance will be provided in several forms from one to one assistance, guidance notes and FAQ.</w:t>
      </w:r>
    </w:p>
    <w:p w:rsidR="00DB7DC7" w:rsidRPr="003F3792" w:rsidRDefault="00DB7DC7" w:rsidP="00330F33">
      <w:pPr>
        <w:spacing w:after="180" w:line="276" w:lineRule="auto"/>
        <w:jc w:val="both"/>
        <w:rPr>
          <w:rFonts w:ascii="Verdana" w:hAnsi="Verdana"/>
          <w:b/>
          <w:sz w:val="22"/>
          <w:szCs w:val="22"/>
          <w:u w:val="single"/>
        </w:rPr>
      </w:pPr>
      <w:r w:rsidRPr="003F3792">
        <w:rPr>
          <w:rFonts w:ascii="Verdana" w:hAnsi="Verdana"/>
          <w:b/>
          <w:sz w:val="22"/>
          <w:szCs w:val="22"/>
          <w:u w:val="single"/>
        </w:rPr>
        <w:t>Harmonisation</w:t>
      </w:r>
    </w:p>
    <w:p w:rsidR="00DB7DC7" w:rsidRPr="003F3792" w:rsidRDefault="00DB7DC7" w:rsidP="00330F33">
      <w:pPr>
        <w:spacing w:after="180" w:line="276" w:lineRule="auto"/>
        <w:jc w:val="both"/>
        <w:rPr>
          <w:rFonts w:ascii="Verdana" w:hAnsi="Verdana"/>
          <w:sz w:val="22"/>
          <w:szCs w:val="22"/>
        </w:rPr>
      </w:pPr>
      <w:r w:rsidRPr="003F3792">
        <w:rPr>
          <w:rFonts w:ascii="Verdana" w:hAnsi="Verdana"/>
          <w:sz w:val="22"/>
          <w:szCs w:val="22"/>
        </w:rPr>
        <w:t xml:space="preserve">An additional move towards simplification is the harmonisation work carried out jointly by various ETC programmes in preparation of the 2014-2020 programme period. This initiative aims at streamlining programme implementation and procedures through a range of common templates and model forms, fact sheets, handbooks and guidance documents. This harmonisation work was coordinated by INTERACT and the URBACT JTS took part in the discussions. URBACT III will build on this work when setting up the implementation tools for the period 2014 – 2020. </w:t>
      </w:r>
    </w:p>
    <w:p w:rsidR="00DB7DC7" w:rsidRPr="003F3792" w:rsidRDefault="00DB7DC7" w:rsidP="00330F33">
      <w:pPr>
        <w:spacing w:after="180" w:line="276" w:lineRule="auto"/>
        <w:jc w:val="both"/>
        <w:rPr>
          <w:rFonts w:ascii="Verdana" w:hAnsi="Verdana"/>
          <w:sz w:val="22"/>
          <w:szCs w:val="22"/>
        </w:rPr>
      </w:pPr>
      <w:r w:rsidRPr="003F3792">
        <w:rPr>
          <w:rFonts w:ascii="Verdana" w:hAnsi="Verdana"/>
          <w:sz w:val="22"/>
          <w:szCs w:val="22"/>
        </w:rPr>
        <w:t xml:space="preserve">The work carried out focused on cost categorization, common templates for reporting and managing projects as well as harmonized documents for first level control (approval, checklists </w:t>
      </w:r>
      <w:r w:rsidR="004F5F2B" w:rsidRPr="003F3792">
        <w:rPr>
          <w:rFonts w:ascii="Verdana" w:hAnsi="Verdana"/>
          <w:sz w:val="22"/>
          <w:szCs w:val="22"/>
        </w:rPr>
        <w:t>etc.</w:t>
      </w:r>
      <w:r w:rsidRPr="003F3792">
        <w:rPr>
          <w:rFonts w:ascii="Verdana" w:hAnsi="Verdana"/>
          <w:sz w:val="22"/>
          <w:szCs w:val="22"/>
        </w:rPr>
        <w:t>)</w:t>
      </w:r>
    </w:p>
    <w:p w:rsidR="00DB7DC7" w:rsidRPr="003F3792" w:rsidRDefault="00DB7DC7" w:rsidP="00330F33">
      <w:pPr>
        <w:spacing w:after="180" w:line="276" w:lineRule="auto"/>
        <w:jc w:val="both"/>
        <w:rPr>
          <w:rFonts w:ascii="Verdana" w:hAnsi="Verdana"/>
          <w:b/>
          <w:sz w:val="22"/>
          <w:szCs w:val="22"/>
          <w:u w:val="single"/>
        </w:rPr>
      </w:pPr>
      <w:r w:rsidRPr="003F3792">
        <w:rPr>
          <w:rFonts w:ascii="Verdana" w:hAnsi="Verdana"/>
          <w:b/>
          <w:sz w:val="22"/>
          <w:szCs w:val="22"/>
          <w:u w:val="single"/>
        </w:rPr>
        <w:t xml:space="preserve">Presage </w:t>
      </w:r>
      <w:r w:rsidR="008C5AFC" w:rsidRPr="003F3792">
        <w:rPr>
          <w:rFonts w:ascii="Verdana" w:hAnsi="Verdana"/>
          <w:b/>
          <w:sz w:val="22"/>
          <w:szCs w:val="22"/>
          <w:u w:val="single"/>
        </w:rPr>
        <w:t>SYNERGIE</w:t>
      </w:r>
    </w:p>
    <w:p w:rsidR="00DB7DC7" w:rsidRPr="003F3792" w:rsidRDefault="00DB7DC7" w:rsidP="00330F33">
      <w:pPr>
        <w:spacing w:after="180" w:line="276" w:lineRule="auto"/>
        <w:jc w:val="both"/>
        <w:rPr>
          <w:rFonts w:ascii="Verdana" w:hAnsi="Verdana"/>
          <w:sz w:val="22"/>
          <w:szCs w:val="22"/>
        </w:rPr>
      </w:pPr>
      <w:r w:rsidRPr="003F3792">
        <w:rPr>
          <w:rFonts w:ascii="Verdana" w:hAnsi="Verdana"/>
          <w:sz w:val="22"/>
          <w:szCs w:val="22"/>
        </w:rPr>
        <w:t xml:space="preserve">The URBACT II programme uses the Presage CTE system for programme and project management.  The system will continue in the period 2014-2020 </w:t>
      </w:r>
      <w:r w:rsidR="008C5AFC" w:rsidRPr="003F3792">
        <w:rPr>
          <w:rFonts w:ascii="Verdana" w:hAnsi="Verdana"/>
          <w:sz w:val="22"/>
          <w:szCs w:val="22"/>
        </w:rPr>
        <w:t>and will be known as Presage SYNERGIE,</w:t>
      </w:r>
      <w:r w:rsidR="00E65CCD" w:rsidRPr="003F3792">
        <w:rPr>
          <w:rFonts w:ascii="Verdana" w:hAnsi="Verdana"/>
          <w:sz w:val="22"/>
          <w:szCs w:val="22"/>
        </w:rPr>
        <w:t xml:space="preserve"> </w:t>
      </w:r>
      <w:r w:rsidR="008C5AFC" w:rsidRPr="003F3792">
        <w:rPr>
          <w:rFonts w:ascii="Verdana" w:hAnsi="Verdana"/>
          <w:sz w:val="22"/>
          <w:szCs w:val="22"/>
        </w:rPr>
        <w:t xml:space="preserve">it </w:t>
      </w:r>
      <w:r w:rsidRPr="003F3792">
        <w:rPr>
          <w:rFonts w:ascii="Verdana" w:hAnsi="Verdana"/>
          <w:sz w:val="22"/>
          <w:szCs w:val="22"/>
        </w:rPr>
        <w:t>will include several new or modified functionalities to allow for simplification for programme beneficiaries.  These modifications include:</w:t>
      </w:r>
    </w:p>
    <w:p w:rsidR="00DB7DC7" w:rsidRPr="003F3792" w:rsidRDefault="00DB7DC7" w:rsidP="00D67ECF">
      <w:pPr>
        <w:pStyle w:val="Paragraphedeliste3"/>
        <w:numPr>
          <w:ilvl w:val="0"/>
          <w:numId w:val="58"/>
        </w:numPr>
        <w:spacing w:after="180"/>
        <w:jc w:val="both"/>
        <w:rPr>
          <w:rFonts w:ascii="Verdana" w:eastAsia="Times New Roman" w:hAnsi="Verdana"/>
          <w:lang w:eastAsia="fr-FR"/>
        </w:rPr>
      </w:pPr>
      <w:r w:rsidRPr="003F3792">
        <w:rPr>
          <w:rFonts w:ascii="Verdana" w:eastAsia="Times New Roman" w:hAnsi="Verdana"/>
          <w:lang w:eastAsia="fr-FR"/>
        </w:rPr>
        <w:t>Better ergonomics to make the system clearer, easier to use and more suitable to present and follow up on project information</w:t>
      </w:r>
    </w:p>
    <w:p w:rsidR="00DB7DC7" w:rsidRPr="003F3792" w:rsidRDefault="00DB7DC7" w:rsidP="00D67ECF">
      <w:pPr>
        <w:pStyle w:val="Paragraphedeliste3"/>
        <w:numPr>
          <w:ilvl w:val="0"/>
          <w:numId w:val="58"/>
        </w:numPr>
        <w:spacing w:after="180"/>
        <w:jc w:val="both"/>
        <w:rPr>
          <w:rFonts w:ascii="Verdana" w:eastAsia="Times New Roman" w:hAnsi="Verdana"/>
          <w:lang w:eastAsia="fr-FR"/>
        </w:rPr>
      </w:pPr>
      <w:r w:rsidRPr="003F3792">
        <w:rPr>
          <w:rFonts w:ascii="Verdana" w:eastAsia="Times New Roman" w:hAnsi="Verdana"/>
          <w:lang w:eastAsia="fr-FR"/>
        </w:rPr>
        <w:t>User friendly programme management tools for better programme follow up and to assist in compulsory reporting</w:t>
      </w:r>
    </w:p>
    <w:p w:rsidR="00DB7DC7" w:rsidRPr="003F3792" w:rsidRDefault="00DB7DC7" w:rsidP="00D67ECF">
      <w:pPr>
        <w:pStyle w:val="Paragraphedeliste3"/>
        <w:numPr>
          <w:ilvl w:val="0"/>
          <w:numId w:val="58"/>
        </w:numPr>
        <w:spacing w:after="180"/>
        <w:jc w:val="both"/>
        <w:rPr>
          <w:rFonts w:ascii="Verdana" w:eastAsia="Times New Roman" w:hAnsi="Verdana"/>
          <w:lang w:eastAsia="fr-FR"/>
        </w:rPr>
      </w:pPr>
      <w:r w:rsidRPr="003F3792">
        <w:rPr>
          <w:rFonts w:ascii="Verdana" w:eastAsia="Times New Roman" w:hAnsi="Verdana"/>
          <w:lang w:eastAsia="fr-FR"/>
        </w:rPr>
        <w:t>Better controls built into the system to avoid incoherencies in projects submitted and hence reduce the rate of ineligible projects</w:t>
      </w:r>
    </w:p>
    <w:p w:rsidR="00DB7DC7" w:rsidRPr="003F3792" w:rsidRDefault="00DB7DC7" w:rsidP="00D67ECF">
      <w:pPr>
        <w:pStyle w:val="Paragraphedeliste3"/>
        <w:numPr>
          <w:ilvl w:val="0"/>
          <w:numId w:val="58"/>
        </w:numPr>
        <w:spacing w:after="180"/>
        <w:jc w:val="both"/>
        <w:rPr>
          <w:rFonts w:ascii="Verdana" w:eastAsia="Times New Roman" w:hAnsi="Verdana"/>
          <w:lang w:eastAsia="fr-FR"/>
        </w:rPr>
      </w:pPr>
      <w:r w:rsidRPr="003F3792">
        <w:rPr>
          <w:rFonts w:ascii="Verdana" w:eastAsia="Times New Roman" w:hAnsi="Verdana"/>
          <w:lang w:eastAsia="fr-FR"/>
        </w:rPr>
        <w:t>Ensuring links to other systems like SFC to simplify programme reporting</w:t>
      </w:r>
    </w:p>
    <w:p w:rsidR="00DB7DC7" w:rsidRPr="003F3792" w:rsidRDefault="00DB7DC7" w:rsidP="00330F33">
      <w:pPr>
        <w:spacing w:after="180" w:line="276" w:lineRule="auto"/>
        <w:jc w:val="both"/>
        <w:rPr>
          <w:rFonts w:ascii="Verdana" w:hAnsi="Verdana"/>
          <w:sz w:val="22"/>
          <w:szCs w:val="22"/>
        </w:rPr>
      </w:pPr>
      <w:r w:rsidRPr="003F3792">
        <w:rPr>
          <w:rFonts w:ascii="Verdana" w:hAnsi="Verdana"/>
          <w:sz w:val="22"/>
          <w:szCs w:val="22"/>
        </w:rPr>
        <w:t>The use of this system will ensure compliance of URBACT III with the principles of e-Cohesion (see below).</w:t>
      </w:r>
    </w:p>
    <w:p w:rsidR="00330F33" w:rsidRDefault="00330F33" w:rsidP="00330F33">
      <w:pPr>
        <w:pStyle w:val="2"/>
        <w:spacing w:after="180" w:line="276" w:lineRule="auto"/>
      </w:pPr>
      <w:bookmarkStart w:id="62" w:name="_Toc248419288"/>
    </w:p>
    <w:p w:rsidR="00DB7DC7" w:rsidRPr="004F5F2B" w:rsidRDefault="007B5752" w:rsidP="00330F33">
      <w:pPr>
        <w:pStyle w:val="2"/>
        <w:spacing w:after="180" w:line="276" w:lineRule="auto"/>
      </w:pPr>
      <w:bookmarkStart w:id="63" w:name="_Toc384648471"/>
      <w:r>
        <w:t>7.1.3.</w:t>
      </w:r>
      <w:r>
        <w:tab/>
      </w:r>
      <w:r w:rsidR="00DB7DC7" w:rsidRPr="004F5F2B">
        <w:t>E-Cohesion</w:t>
      </w:r>
      <w:bookmarkEnd w:id="62"/>
      <w:bookmarkEnd w:id="63"/>
    </w:p>
    <w:p w:rsidR="00DB7DC7" w:rsidRPr="003F3792" w:rsidRDefault="00DB7DC7" w:rsidP="00330F33">
      <w:pPr>
        <w:spacing w:after="180" w:line="276" w:lineRule="auto"/>
        <w:jc w:val="both"/>
        <w:rPr>
          <w:rFonts w:ascii="Verdana" w:hAnsi="Verdana"/>
          <w:sz w:val="22"/>
          <w:szCs w:val="22"/>
        </w:rPr>
      </w:pPr>
      <w:r w:rsidRPr="003F3792">
        <w:rPr>
          <w:rFonts w:ascii="Verdana" w:hAnsi="Verdana" w:cs="Arial"/>
          <w:sz w:val="22"/>
          <w:szCs w:val="22"/>
        </w:rPr>
        <w:t>The Common Provision Regulation (Article 122(3)) states that, at the latest by the end of 2015</w:t>
      </w:r>
      <w:r w:rsidR="003F3792" w:rsidRPr="003F3792">
        <w:rPr>
          <w:rFonts w:ascii="Verdana" w:hAnsi="Verdana" w:cs="Arial"/>
          <w:sz w:val="22"/>
          <w:szCs w:val="22"/>
        </w:rPr>
        <w:t>,</w:t>
      </w:r>
      <w:r w:rsidRPr="003F3792">
        <w:rPr>
          <w:rFonts w:ascii="Verdana" w:hAnsi="Verdana" w:cs="Arial"/>
          <w:sz w:val="22"/>
          <w:szCs w:val="22"/>
        </w:rPr>
        <w:t xml:space="preserve"> programmes should ensure that all data exchanges between beneficiaries and programme authorities can be carried out electronically. More precisely the </w:t>
      </w:r>
      <w:bookmarkStart w:id="64" w:name="OLE_LINK3"/>
      <w:bookmarkStart w:id="65" w:name="OLE_LINK4"/>
      <w:bookmarkEnd w:id="64"/>
      <w:r w:rsidRPr="003F3792">
        <w:rPr>
          <w:rFonts w:ascii="Verdana" w:hAnsi="Verdana" w:cs="Arial"/>
          <w:sz w:val="22"/>
          <w:szCs w:val="22"/>
        </w:rPr>
        <w:t xml:space="preserve">e-Cohesion initiative for the structural funds </w:t>
      </w:r>
      <w:bookmarkEnd w:id="65"/>
      <w:r w:rsidRPr="003F3792">
        <w:rPr>
          <w:rFonts w:ascii="Verdana" w:hAnsi="Verdana" w:cs="Arial"/>
          <w:sz w:val="22"/>
          <w:szCs w:val="22"/>
        </w:rPr>
        <w:t xml:space="preserve">sets the following requirements for electronic data exchange in the 2014-2020 period: </w:t>
      </w:r>
    </w:p>
    <w:p w:rsidR="00DB7DC7" w:rsidRPr="003F3792" w:rsidRDefault="00DB7DC7" w:rsidP="00D67ECF">
      <w:pPr>
        <w:pStyle w:val="Paragraphedeliste3"/>
        <w:numPr>
          <w:ilvl w:val="0"/>
          <w:numId w:val="59"/>
        </w:numPr>
        <w:spacing w:after="180"/>
        <w:ind w:left="714" w:hanging="357"/>
        <w:jc w:val="both"/>
        <w:rPr>
          <w:rFonts w:ascii="Verdana" w:eastAsia="Times New Roman" w:hAnsi="Verdana"/>
          <w:lang w:eastAsia="fr-FR"/>
        </w:rPr>
      </w:pPr>
      <w:r w:rsidRPr="003F3792">
        <w:rPr>
          <w:rFonts w:ascii="Verdana" w:eastAsia="Times New Roman" w:hAnsi="Verdana" w:cs="Arial"/>
          <w:lang w:eastAsia="fr-FR"/>
        </w:rPr>
        <w:t>Beneficiaries do not have to enter the same data more than once in the system.</w:t>
      </w:r>
    </w:p>
    <w:p w:rsidR="00DB7DC7" w:rsidRPr="003F3792" w:rsidRDefault="00DB7DC7" w:rsidP="00D67ECF">
      <w:pPr>
        <w:pStyle w:val="Paragraphedeliste3"/>
        <w:numPr>
          <w:ilvl w:val="0"/>
          <w:numId w:val="59"/>
        </w:numPr>
        <w:spacing w:after="180"/>
        <w:ind w:left="714" w:hanging="357"/>
        <w:jc w:val="both"/>
        <w:rPr>
          <w:rFonts w:ascii="Verdana" w:eastAsia="Times New Roman" w:hAnsi="Verdana"/>
          <w:lang w:eastAsia="fr-FR"/>
        </w:rPr>
      </w:pPr>
      <w:r w:rsidRPr="003F3792">
        <w:rPr>
          <w:rFonts w:ascii="Verdana" w:eastAsia="Times New Roman" w:hAnsi="Verdana" w:cs="Arial"/>
          <w:lang w:eastAsia="fr-FR"/>
        </w:rPr>
        <w:t>Interoperability is guaranteed, which means that data entered by beneficiaries is shared between different bodies within the same operational programme.</w:t>
      </w:r>
    </w:p>
    <w:p w:rsidR="00DB7DC7" w:rsidRPr="003F3792" w:rsidRDefault="00DB7DC7" w:rsidP="00D67ECF">
      <w:pPr>
        <w:pStyle w:val="Paragraphedeliste3"/>
        <w:numPr>
          <w:ilvl w:val="0"/>
          <w:numId w:val="59"/>
        </w:numPr>
        <w:spacing w:after="180"/>
        <w:ind w:left="714" w:hanging="357"/>
        <w:jc w:val="both"/>
        <w:rPr>
          <w:rFonts w:ascii="Verdana" w:eastAsia="Times New Roman" w:hAnsi="Verdana"/>
          <w:lang w:eastAsia="fr-FR"/>
        </w:rPr>
      </w:pPr>
      <w:r w:rsidRPr="003F3792">
        <w:rPr>
          <w:rFonts w:ascii="Verdana" w:eastAsia="Times New Roman" w:hAnsi="Verdana" w:cs="Arial"/>
          <w:lang w:eastAsia="fr-FR"/>
        </w:rPr>
        <w:t>The electronic audit trail complies with relevant articles of the Common Provision Regulation (Articles 122 and 140) as well as with any national requirements on the availability of documents.</w:t>
      </w:r>
    </w:p>
    <w:p w:rsidR="00DB7DC7" w:rsidRPr="003F3792" w:rsidRDefault="00DB7DC7" w:rsidP="00D67ECF">
      <w:pPr>
        <w:pStyle w:val="Paragraphedeliste3"/>
        <w:numPr>
          <w:ilvl w:val="0"/>
          <w:numId w:val="59"/>
        </w:numPr>
        <w:spacing w:after="180"/>
        <w:ind w:left="714" w:hanging="357"/>
        <w:jc w:val="both"/>
        <w:rPr>
          <w:rFonts w:ascii="Verdana" w:eastAsia="Times New Roman" w:hAnsi="Verdana"/>
          <w:lang w:eastAsia="fr-FR"/>
        </w:rPr>
      </w:pPr>
      <w:r w:rsidRPr="003F3792">
        <w:rPr>
          <w:rFonts w:ascii="Verdana" w:eastAsia="Times New Roman" w:hAnsi="Verdana" w:cs="Arial"/>
          <w:lang w:eastAsia="fr-FR"/>
        </w:rPr>
        <w:t>The system for electronic data exchange guarantees data integrity and confidentiality, authentication of the sender and storage in compliance with defined retention rules (Article 140 of the CPR).</w:t>
      </w:r>
    </w:p>
    <w:p w:rsidR="00C0267C" w:rsidRPr="003F3792" w:rsidRDefault="00C0267C" w:rsidP="00330F33">
      <w:pPr>
        <w:spacing w:after="180" w:line="276" w:lineRule="auto"/>
        <w:jc w:val="both"/>
        <w:rPr>
          <w:rFonts w:ascii="Verdana" w:hAnsi="Verdana" w:cs="Arial"/>
          <w:sz w:val="22"/>
          <w:szCs w:val="22"/>
        </w:rPr>
      </w:pPr>
      <w:r w:rsidRPr="003F3792">
        <w:rPr>
          <w:rFonts w:ascii="Verdana" w:hAnsi="Verdana" w:cs="Arial"/>
          <w:sz w:val="22"/>
          <w:szCs w:val="22"/>
        </w:rPr>
        <w:t>The URBACT III programme shall refer to the Implementing Act currently under development from the EC to ensure that the programme can respect the minimum requirements of the e-cohesion policy.  Provisions for electronic signatures, interoperability between data exchange systems, electronic audit, pre-filled forms, automatic controls and calculations as some examples can assist in reducing the administrative burden for beneficiaries.</w:t>
      </w:r>
    </w:p>
    <w:p w:rsidR="00DB7DC7" w:rsidRPr="003F3792" w:rsidRDefault="00DB7DC7" w:rsidP="00330F33">
      <w:pPr>
        <w:spacing w:after="180" w:line="276" w:lineRule="auto"/>
        <w:jc w:val="both"/>
        <w:rPr>
          <w:rFonts w:ascii="Verdana" w:hAnsi="Verdana"/>
          <w:sz w:val="22"/>
          <w:szCs w:val="22"/>
        </w:rPr>
      </w:pPr>
      <w:r w:rsidRPr="003F3792">
        <w:rPr>
          <w:rFonts w:ascii="Verdana" w:hAnsi="Verdana" w:cs="Arial"/>
          <w:sz w:val="22"/>
          <w:szCs w:val="22"/>
        </w:rPr>
        <w:t xml:space="preserve">The Presage CTE system operated under URBACT III </w:t>
      </w:r>
      <w:r w:rsidR="00C0267C" w:rsidRPr="003F3792">
        <w:rPr>
          <w:rFonts w:ascii="Verdana" w:hAnsi="Verdana" w:cs="Arial"/>
          <w:sz w:val="22"/>
          <w:szCs w:val="22"/>
        </w:rPr>
        <w:t>is being developed</w:t>
      </w:r>
      <w:r w:rsidRPr="003F3792">
        <w:rPr>
          <w:rFonts w:ascii="Verdana" w:hAnsi="Verdana" w:cs="Arial"/>
          <w:sz w:val="22"/>
          <w:szCs w:val="22"/>
        </w:rPr>
        <w:t xml:space="preserve"> to comply with these norms. The URBACT III programme will operate fully in line with these principles from the start of the programme period</w:t>
      </w:r>
      <w:r w:rsidR="00C0267C" w:rsidRPr="003F3792">
        <w:rPr>
          <w:rFonts w:ascii="Verdana" w:hAnsi="Verdana" w:cs="Arial"/>
          <w:sz w:val="22"/>
          <w:szCs w:val="22"/>
        </w:rPr>
        <w:t xml:space="preserve"> ensuring that the system is operational by the end of 2014</w:t>
      </w:r>
      <w:r w:rsidRPr="003F3792">
        <w:rPr>
          <w:rFonts w:ascii="Verdana" w:hAnsi="Verdana" w:cs="Arial"/>
          <w:sz w:val="22"/>
          <w:szCs w:val="22"/>
        </w:rPr>
        <w:t>.</w:t>
      </w:r>
    </w:p>
    <w:p w:rsidR="000346A5" w:rsidRPr="003F3792" w:rsidRDefault="000346A5">
      <w:pPr>
        <w:spacing w:after="200" w:line="276" w:lineRule="auto"/>
        <w:rPr>
          <w:rFonts w:ascii="Arial" w:hAnsi="Arial" w:cs="Arial"/>
          <w:color w:val="1F497D"/>
          <w:sz w:val="22"/>
          <w:szCs w:val="22"/>
        </w:rPr>
      </w:pPr>
    </w:p>
    <w:p w:rsidR="000346A5" w:rsidRPr="004F5F2B" w:rsidRDefault="000346A5">
      <w:pPr>
        <w:spacing w:after="200" w:line="276" w:lineRule="auto"/>
        <w:rPr>
          <w:rFonts w:ascii="Arial" w:hAnsi="Arial" w:cs="Arial"/>
          <w:color w:val="1F497D"/>
        </w:rPr>
      </w:pPr>
      <w:r w:rsidRPr="004F5F2B">
        <w:rPr>
          <w:rFonts w:ascii="Arial" w:hAnsi="Arial" w:cs="Arial"/>
          <w:color w:val="1F497D"/>
        </w:rPr>
        <w:br w:type="page"/>
      </w:r>
    </w:p>
    <w:p w:rsidR="00AC759C" w:rsidRPr="004F5F2B" w:rsidRDefault="00AC759C" w:rsidP="000346A5">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0346A5" w:rsidRPr="004F5F2B" w:rsidRDefault="000346A5" w:rsidP="000346A5">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r w:rsidRPr="004F5F2B">
        <w:rPr>
          <w:rFonts w:ascii="Verdana" w:hAnsi="Verdana"/>
          <w:b/>
          <w:bCs/>
        </w:rPr>
        <w:t>SECTION EIGHT</w:t>
      </w:r>
    </w:p>
    <w:p w:rsidR="000346A5" w:rsidRPr="004F5F2B" w:rsidRDefault="000346A5" w:rsidP="000346A5">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0346A5" w:rsidRPr="004F5F2B" w:rsidRDefault="000346A5" w:rsidP="000346A5">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sz w:val="36"/>
          <w:szCs w:val="36"/>
        </w:rPr>
      </w:pPr>
      <w:r w:rsidRPr="004F5F2B">
        <w:rPr>
          <w:rFonts w:ascii="Verdana" w:hAnsi="Verdana"/>
          <w:b/>
          <w:sz w:val="36"/>
          <w:szCs w:val="36"/>
        </w:rPr>
        <w:t>Horizontal Principles</w:t>
      </w:r>
    </w:p>
    <w:p w:rsidR="000346A5" w:rsidRPr="004F5F2B" w:rsidRDefault="000346A5" w:rsidP="000346A5">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0346A5" w:rsidRPr="004F5F2B" w:rsidRDefault="000346A5" w:rsidP="000346A5">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0346A5" w:rsidRPr="004F5F2B" w:rsidRDefault="000346A5" w:rsidP="00D67ECF">
      <w:pPr>
        <w:pStyle w:val="Paragraphedeliste3"/>
        <w:numPr>
          <w:ilvl w:val="1"/>
          <w:numId w:val="10"/>
        </w:num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sz w:val="24"/>
          <w:szCs w:val="24"/>
        </w:rPr>
      </w:pPr>
      <w:r w:rsidRPr="004F5F2B">
        <w:rPr>
          <w:rFonts w:ascii="Verdana" w:hAnsi="Verdana"/>
          <w:b/>
          <w:bCs/>
          <w:sz w:val="24"/>
          <w:szCs w:val="24"/>
        </w:rPr>
        <w:t>Sustainable Development</w:t>
      </w:r>
    </w:p>
    <w:p w:rsidR="000346A5" w:rsidRPr="004F5F2B" w:rsidRDefault="000346A5" w:rsidP="000346A5">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0346A5" w:rsidRPr="004F5F2B" w:rsidRDefault="000346A5" w:rsidP="00D67ECF">
      <w:pPr>
        <w:pStyle w:val="Paragraphedeliste3"/>
        <w:numPr>
          <w:ilvl w:val="1"/>
          <w:numId w:val="10"/>
        </w:num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sz w:val="24"/>
          <w:szCs w:val="24"/>
        </w:rPr>
      </w:pPr>
      <w:r w:rsidRPr="004F5F2B">
        <w:rPr>
          <w:rFonts w:ascii="Verdana" w:hAnsi="Verdana"/>
          <w:b/>
          <w:bCs/>
          <w:sz w:val="24"/>
          <w:szCs w:val="24"/>
        </w:rPr>
        <w:t>Equal Opportunities and non-discrimination</w:t>
      </w:r>
    </w:p>
    <w:p w:rsidR="000346A5" w:rsidRPr="004F5F2B" w:rsidRDefault="000346A5" w:rsidP="000346A5">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0346A5" w:rsidRPr="004F5F2B" w:rsidRDefault="000346A5" w:rsidP="00D67ECF">
      <w:pPr>
        <w:numPr>
          <w:ilvl w:val="1"/>
          <w:numId w:val="10"/>
        </w:num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r w:rsidRPr="004F5F2B">
        <w:rPr>
          <w:rFonts w:ascii="Verdana" w:hAnsi="Verdana"/>
          <w:b/>
          <w:bCs/>
        </w:rPr>
        <w:t>Equality between men and women</w:t>
      </w:r>
    </w:p>
    <w:p w:rsidR="000346A5" w:rsidRPr="004F5F2B" w:rsidRDefault="000346A5" w:rsidP="000346A5">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eastAsia="Calibri" w:hAnsi="Verdana"/>
          <w:b/>
          <w:bCs/>
          <w:sz w:val="22"/>
          <w:szCs w:val="22"/>
          <w:lang w:eastAsia="en-US"/>
        </w:rPr>
      </w:pPr>
    </w:p>
    <w:p w:rsidR="000346A5" w:rsidRPr="004F5F2B" w:rsidRDefault="000346A5" w:rsidP="000346A5">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0346A5" w:rsidRPr="004F5F2B" w:rsidRDefault="000346A5">
      <w:pPr>
        <w:spacing w:after="200" w:line="276" w:lineRule="auto"/>
        <w:rPr>
          <w:rFonts w:ascii="Arial" w:hAnsi="Arial" w:cs="Arial"/>
          <w:color w:val="1F497D"/>
        </w:rPr>
      </w:pPr>
    </w:p>
    <w:p w:rsidR="00DB7DC7" w:rsidRPr="004F5F2B" w:rsidRDefault="00DB7DC7">
      <w:pPr>
        <w:spacing w:after="200" w:line="276" w:lineRule="auto"/>
        <w:rPr>
          <w:rFonts w:ascii="Arial" w:hAnsi="Arial" w:cs="Arial"/>
          <w:color w:val="1F497D"/>
        </w:rPr>
      </w:pPr>
      <w:r w:rsidRPr="004F5F2B">
        <w:rPr>
          <w:rFonts w:ascii="Arial" w:hAnsi="Arial" w:cs="Arial"/>
          <w:color w:val="1F497D"/>
        </w:rPr>
        <w:br w:type="page"/>
      </w:r>
    </w:p>
    <w:p w:rsidR="00026F8F" w:rsidRPr="004F5F2B" w:rsidRDefault="00026F8F" w:rsidP="00A40420">
      <w:pPr>
        <w:pStyle w:val="StyleHeading1Hanging085cm"/>
      </w:pPr>
      <w:bookmarkStart w:id="66" w:name="_Toc384648472"/>
      <w:r w:rsidRPr="004F5F2B">
        <w:t>Section 8 Horizontal Principles</w:t>
      </w:r>
      <w:bookmarkEnd w:id="66"/>
    </w:p>
    <w:p w:rsidR="00026F8F" w:rsidRPr="004F5F2B" w:rsidRDefault="00026F8F" w:rsidP="00026F8F">
      <w:pPr>
        <w:rPr>
          <w:rFonts w:ascii="Verdana" w:hAnsi="Verdana"/>
          <w:b/>
        </w:rPr>
      </w:pPr>
    </w:p>
    <w:p w:rsidR="00026F8F" w:rsidRPr="004F5F2B" w:rsidRDefault="00026F8F" w:rsidP="00026F8F">
      <w:pPr>
        <w:rPr>
          <w:rFonts w:ascii="Verdana" w:hAnsi="Verdana"/>
          <w:b/>
        </w:rPr>
      </w:pPr>
    </w:p>
    <w:p w:rsidR="00026F8F" w:rsidRPr="004F5F2B" w:rsidRDefault="007B5752" w:rsidP="00026F8F">
      <w:pPr>
        <w:pStyle w:val="2"/>
      </w:pPr>
      <w:bookmarkStart w:id="67" w:name="_Toc384648473"/>
      <w:r>
        <w:t>8.1.</w:t>
      </w:r>
      <w:r>
        <w:tab/>
      </w:r>
      <w:r w:rsidR="00026F8F" w:rsidRPr="004F5F2B">
        <w:t>Sustainable Development</w:t>
      </w:r>
      <w:bookmarkEnd w:id="67"/>
    </w:p>
    <w:p w:rsidR="00026F8F" w:rsidRPr="003F3792" w:rsidRDefault="00026F8F" w:rsidP="00026F8F">
      <w:pPr>
        <w:rPr>
          <w:rFonts w:ascii="Verdana" w:hAnsi="Verdana"/>
          <w:sz w:val="22"/>
          <w:szCs w:val="22"/>
        </w:rPr>
      </w:pPr>
      <w:r w:rsidRPr="003F3792">
        <w:rPr>
          <w:rFonts w:ascii="Verdana" w:hAnsi="Verdana"/>
          <w:sz w:val="22"/>
          <w:szCs w:val="22"/>
        </w:rPr>
        <w:t>Not applicable to URBACT</w:t>
      </w:r>
    </w:p>
    <w:p w:rsidR="00026F8F" w:rsidRPr="004F5F2B" w:rsidRDefault="00026F8F" w:rsidP="00026F8F">
      <w:pPr>
        <w:rPr>
          <w:rFonts w:ascii="Verdana" w:hAnsi="Verdana"/>
          <w:b/>
        </w:rPr>
      </w:pPr>
    </w:p>
    <w:p w:rsidR="00026F8F" w:rsidRPr="004F5F2B" w:rsidRDefault="00026F8F" w:rsidP="00026F8F">
      <w:pPr>
        <w:rPr>
          <w:rFonts w:ascii="Verdana" w:hAnsi="Verdana"/>
          <w:b/>
        </w:rPr>
      </w:pPr>
    </w:p>
    <w:p w:rsidR="00026F8F" w:rsidRPr="004F5F2B" w:rsidRDefault="007B5752" w:rsidP="00026F8F">
      <w:pPr>
        <w:pStyle w:val="2"/>
      </w:pPr>
      <w:bookmarkStart w:id="68" w:name="_Toc384648474"/>
      <w:r>
        <w:t>8.2.</w:t>
      </w:r>
      <w:r>
        <w:tab/>
      </w:r>
      <w:r w:rsidR="00026F8F" w:rsidRPr="004F5F2B">
        <w:t>Equal opportunities and non-discrimination</w:t>
      </w:r>
      <w:bookmarkEnd w:id="68"/>
    </w:p>
    <w:p w:rsidR="00026F8F" w:rsidRPr="003F3792" w:rsidRDefault="00026F8F" w:rsidP="00026F8F">
      <w:pPr>
        <w:rPr>
          <w:rFonts w:ascii="Verdana" w:hAnsi="Verdana"/>
          <w:sz w:val="22"/>
          <w:szCs w:val="22"/>
        </w:rPr>
      </w:pPr>
      <w:r w:rsidRPr="003F3792">
        <w:rPr>
          <w:rFonts w:ascii="Verdana" w:hAnsi="Verdana"/>
          <w:sz w:val="22"/>
          <w:szCs w:val="22"/>
        </w:rPr>
        <w:t>Not applicable to URBACT</w:t>
      </w:r>
    </w:p>
    <w:p w:rsidR="00026F8F" w:rsidRPr="004F5F2B" w:rsidRDefault="00026F8F" w:rsidP="00026F8F">
      <w:pPr>
        <w:rPr>
          <w:rFonts w:ascii="Verdana" w:hAnsi="Verdana"/>
          <w:b/>
        </w:rPr>
      </w:pPr>
    </w:p>
    <w:p w:rsidR="00026F8F" w:rsidRPr="004F5F2B" w:rsidRDefault="00026F8F" w:rsidP="00026F8F">
      <w:pPr>
        <w:rPr>
          <w:rFonts w:ascii="Verdana" w:hAnsi="Verdana"/>
          <w:b/>
        </w:rPr>
      </w:pPr>
    </w:p>
    <w:p w:rsidR="00026F8F" w:rsidRPr="004F5F2B" w:rsidRDefault="007B5752" w:rsidP="004C4BB9">
      <w:pPr>
        <w:pStyle w:val="2"/>
        <w:spacing w:after="180" w:line="276" w:lineRule="auto"/>
      </w:pPr>
      <w:bookmarkStart w:id="69" w:name="_Toc384648475"/>
      <w:r>
        <w:t>8.3.</w:t>
      </w:r>
      <w:r>
        <w:tab/>
      </w:r>
      <w:r w:rsidR="00026F8F" w:rsidRPr="004F5F2B">
        <w:t>Equality between men and women</w:t>
      </w:r>
      <w:bookmarkEnd w:id="69"/>
    </w:p>
    <w:p w:rsidR="00026F8F" w:rsidRPr="00C82E8B" w:rsidRDefault="00026F8F" w:rsidP="004C4BB9">
      <w:pPr>
        <w:spacing w:after="180" w:line="276" w:lineRule="auto"/>
        <w:jc w:val="both"/>
        <w:rPr>
          <w:rFonts w:ascii="Verdana" w:hAnsi="Verdana"/>
          <w:sz w:val="22"/>
          <w:szCs w:val="22"/>
        </w:rPr>
      </w:pPr>
      <w:r w:rsidRPr="00C82E8B">
        <w:rPr>
          <w:rFonts w:ascii="Verdana" w:hAnsi="Verdana"/>
          <w:sz w:val="22"/>
          <w:szCs w:val="22"/>
        </w:rPr>
        <w:t>The objective of promoting equality between women and men is a fundamental value of the EU, as enshrined in Article 3 of the Treaty on European Union (TEU) and Article 8 of the Treaty on the Function of the European Union (TFEU) obliging the EU to mainstream gender equality in all of its activities. EU policy on gender equality is currently articulated in the Commission’s Strategy for Equality between Women and Men 2010-2015 and the Council’s European Pact for Gender Equality (2011-2020), closely linked with Europe 2020: the European Union's Strategy for Jobs and Smart, Sustainable and Inclusive Growth.</w:t>
      </w:r>
    </w:p>
    <w:p w:rsidR="00026F8F" w:rsidRPr="00C82E8B" w:rsidRDefault="00026F8F" w:rsidP="004C4BB9">
      <w:pPr>
        <w:spacing w:after="180" w:line="276" w:lineRule="auto"/>
        <w:jc w:val="both"/>
        <w:rPr>
          <w:rFonts w:ascii="Verdana" w:hAnsi="Verdana"/>
          <w:sz w:val="22"/>
          <w:szCs w:val="22"/>
        </w:rPr>
      </w:pPr>
      <w:r w:rsidRPr="00C82E8B">
        <w:rPr>
          <w:rFonts w:ascii="Verdana" w:hAnsi="Verdana"/>
          <w:sz w:val="22"/>
          <w:szCs w:val="22"/>
        </w:rPr>
        <w:t xml:space="preserve">URBACT III will promote gender equality principles in the Programme, ensuring that the gender equality perspective and awareness will be present in the planning, implementation and evaluation phases. </w:t>
      </w:r>
    </w:p>
    <w:p w:rsidR="00026F8F" w:rsidRPr="00C82E8B" w:rsidRDefault="00026F8F" w:rsidP="004C4BB9">
      <w:pPr>
        <w:spacing w:after="180" w:line="276" w:lineRule="auto"/>
        <w:jc w:val="both"/>
        <w:rPr>
          <w:rFonts w:ascii="Verdana" w:hAnsi="Verdana"/>
          <w:sz w:val="22"/>
          <w:szCs w:val="22"/>
        </w:rPr>
      </w:pPr>
      <w:r w:rsidRPr="00C82E8B">
        <w:rPr>
          <w:rFonts w:ascii="Verdana" w:hAnsi="Verdana"/>
          <w:sz w:val="22"/>
          <w:szCs w:val="22"/>
        </w:rPr>
        <w:t>There will be no specific funding allocated for specific gender focused actions; however, several initiatives will be taken by the Programme to ensure both men and women benefit from URBACT III activities, including:</w:t>
      </w:r>
    </w:p>
    <w:p w:rsidR="00026F8F" w:rsidRPr="00C82E8B" w:rsidRDefault="00026F8F" w:rsidP="00D67ECF">
      <w:pPr>
        <w:pStyle w:val="Paragraphedeliste3"/>
        <w:numPr>
          <w:ilvl w:val="0"/>
          <w:numId w:val="60"/>
        </w:numPr>
        <w:spacing w:after="180"/>
        <w:ind w:left="714" w:hanging="357"/>
        <w:contextualSpacing w:val="0"/>
        <w:jc w:val="both"/>
        <w:rPr>
          <w:rFonts w:ascii="Verdana" w:hAnsi="Verdana"/>
        </w:rPr>
      </w:pPr>
      <w:r w:rsidRPr="00C82E8B">
        <w:rPr>
          <w:rFonts w:ascii="Verdana" w:hAnsi="Verdana"/>
        </w:rPr>
        <w:t>Ensuring that the gender ratio of direct beneficiaries and also speakers taking part in the Programme-level transnational events, such as, for example, transnational capacity building training seminars, conferences, thematic events and seminars, would not exceed 60/40;</w:t>
      </w:r>
    </w:p>
    <w:p w:rsidR="00026F8F" w:rsidRPr="00C82E8B" w:rsidRDefault="00026F8F" w:rsidP="00D67ECF">
      <w:pPr>
        <w:pStyle w:val="Paragraphedeliste3"/>
        <w:numPr>
          <w:ilvl w:val="0"/>
          <w:numId w:val="60"/>
        </w:numPr>
        <w:spacing w:after="180"/>
        <w:ind w:left="714" w:hanging="357"/>
        <w:contextualSpacing w:val="0"/>
        <w:jc w:val="both"/>
        <w:rPr>
          <w:rFonts w:ascii="Verdana" w:hAnsi="Verdana"/>
        </w:rPr>
      </w:pPr>
      <w:r w:rsidRPr="00C82E8B">
        <w:rPr>
          <w:rFonts w:ascii="Verdana" w:hAnsi="Verdana"/>
        </w:rPr>
        <w:t>Guaranteeing  that there would be a balanced ratio of qualified men and women recruited for senior management and specialist positions in the Joint Technical Secretariat of the URBACT Programme;</w:t>
      </w:r>
    </w:p>
    <w:p w:rsidR="00026F8F" w:rsidRPr="00C82E8B" w:rsidRDefault="00026F8F" w:rsidP="00D67ECF">
      <w:pPr>
        <w:pStyle w:val="Paragraphedeliste3"/>
        <w:numPr>
          <w:ilvl w:val="0"/>
          <w:numId w:val="60"/>
        </w:numPr>
        <w:spacing w:after="180"/>
        <w:ind w:left="714" w:hanging="357"/>
        <w:contextualSpacing w:val="0"/>
        <w:jc w:val="both"/>
        <w:rPr>
          <w:rFonts w:ascii="Verdana" w:hAnsi="Verdana"/>
        </w:rPr>
      </w:pPr>
      <w:r w:rsidRPr="00C82E8B">
        <w:rPr>
          <w:rFonts w:ascii="Verdana" w:hAnsi="Verdana"/>
        </w:rPr>
        <w:t>Inviting applicants for “Action-Planning”, “Implementation” and “Transfer” networks to explain in their application forms and progress reports on how their network activities comply with and strengthen the gender equality principle;</w:t>
      </w:r>
    </w:p>
    <w:p w:rsidR="00026F8F" w:rsidRPr="00C82E8B" w:rsidRDefault="00026F8F" w:rsidP="00D67ECF">
      <w:pPr>
        <w:pStyle w:val="Paragraphedeliste3"/>
        <w:numPr>
          <w:ilvl w:val="0"/>
          <w:numId w:val="60"/>
        </w:numPr>
        <w:spacing w:after="180"/>
        <w:ind w:left="714" w:hanging="357"/>
        <w:contextualSpacing w:val="0"/>
        <w:jc w:val="both"/>
        <w:rPr>
          <w:rFonts w:ascii="Verdana" w:hAnsi="Verdana"/>
        </w:rPr>
      </w:pPr>
      <w:r w:rsidRPr="00C82E8B">
        <w:rPr>
          <w:rFonts w:ascii="Verdana" w:hAnsi="Verdana"/>
        </w:rPr>
        <w:t>Monitoring how gender balance is maintained in transnational exchange projects, and, if the loss of equilibrium is identified, to develop and implement corrective actions (for example, by introducing a specific requirement in the application forms of the calls for transnational networks stating how the participation of underrepresented gender would be encouraged, monitored and maintained) to improve the situation;</w:t>
      </w:r>
    </w:p>
    <w:p w:rsidR="00026F8F" w:rsidRPr="00C82E8B" w:rsidRDefault="00026F8F" w:rsidP="00D67ECF">
      <w:pPr>
        <w:pStyle w:val="Paragraphedeliste3"/>
        <w:numPr>
          <w:ilvl w:val="0"/>
          <w:numId w:val="60"/>
        </w:numPr>
        <w:spacing w:after="180"/>
        <w:ind w:left="714" w:hanging="357"/>
        <w:contextualSpacing w:val="0"/>
        <w:jc w:val="both"/>
        <w:rPr>
          <w:rFonts w:ascii="Verdana" w:hAnsi="Verdana"/>
        </w:rPr>
      </w:pPr>
      <w:r w:rsidRPr="00C82E8B">
        <w:rPr>
          <w:rFonts w:ascii="Verdana" w:hAnsi="Verdana"/>
        </w:rPr>
        <w:t>Carrying out an evaluation as an integral part of the Mid-Term Review of the Programme on how URBACT III Programme activities directly and/or indirectly have contributed in promoting the gender equality.</w:t>
      </w:r>
    </w:p>
    <w:p w:rsidR="00026F8F" w:rsidRPr="00C82E8B" w:rsidRDefault="00026F8F" w:rsidP="004C4BB9">
      <w:pPr>
        <w:spacing w:after="180" w:line="276" w:lineRule="auto"/>
        <w:jc w:val="both"/>
        <w:rPr>
          <w:rFonts w:ascii="Verdana" w:hAnsi="Verdana"/>
          <w:sz w:val="22"/>
          <w:szCs w:val="22"/>
        </w:rPr>
      </w:pPr>
      <w:r w:rsidRPr="00C82E8B">
        <w:rPr>
          <w:rFonts w:ascii="Verdana" w:hAnsi="Verdana"/>
          <w:sz w:val="22"/>
          <w:szCs w:val="22"/>
        </w:rPr>
        <w:t>In addition, it is expected that the main actions of URBACT III Programme, such as capacity building activities, transnational exchange and capitalisation activities for designing and implementation of sustainable urban policies, will have the spill</w:t>
      </w:r>
      <w:r w:rsidR="00C82E8B">
        <w:rPr>
          <w:rFonts w:ascii="Verdana" w:hAnsi="Verdana"/>
          <w:sz w:val="22"/>
          <w:szCs w:val="22"/>
        </w:rPr>
        <w:t xml:space="preserve"> </w:t>
      </w:r>
      <w:r w:rsidRPr="00C82E8B">
        <w:rPr>
          <w:rFonts w:ascii="Verdana" w:hAnsi="Verdana"/>
          <w:sz w:val="22"/>
          <w:szCs w:val="22"/>
        </w:rPr>
        <w:t>over effects to positively influence equality between women and men in the European level (for example, the balanced gender ratio of direct beneficiaries taking part in the capacity building activities can create the following positive spill</w:t>
      </w:r>
      <w:r w:rsidR="00C82E8B">
        <w:rPr>
          <w:rFonts w:ascii="Verdana" w:hAnsi="Verdana"/>
          <w:sz w:val="22"/>
          <w:szCs w:val="22"/>
        </w:rPr>
        <w:t xml:space="preserve"> </w:t>
      </w:r>
      <w:r w:rsidRPr="00C82E8B">
        <w:rPr>
          <w:rFonts w:ascii="Verdana" w:hAnsi="Verdana"/>
          <w:sz w:val="22"/>
          <w:szCs w:val="22"/>
        </w:rPr>
        <w:t xml:space="preserve">over effect: elected representatives and urban practitioners of both genders having an equal access to right capacities and skills to become city leaders and key players). </w:t>
      </w:r>
    </w:p>
    <w:p w:rsidR="00466221" w:rsidRPr="00C82E8B" w:rsidRDefault="00466221" w:rsidP="004C4BB9">
      <w:pPr>
        <w:spacing w:after="180" w:line="276" w:lineRule="auto"/>
        <w:rPr>
          <w:rFonts w:ascii="Arial" w:hAnsi="Arial" w:cs="Arial"/>
          <w:color w:val="1F497D"/>
          <w:sz w:val="22"/>
          <w:szCs w:val="22"/>
        </w:rPr>
      </w:pPr>
    </w:p>
    <w:p w:rsidR="00E65CCD" w:rsidRPr="00C82E8B" w:rsidRDefault="00E65CCD" w:rsidP="004C4BB9">
      <w:pPr>
        <w:spacing w:after="180" w:line="276" w:lineRule="auto"/>
        <w:rPr>
          <w:rFonts w:ascii="Arial" w:hAnsi="Arial" w:cs="Arial"/>
          <w:color w:val="1F497D"/>
          <w:sz w:val="22"/>
          <w:szCs w:val="22"/>
        </w:rPr>
      </w:pPr>
    </w:p>
    <w:p w:rsidR="00C82E8B" w:rsidRDefault="00C82E8B">
      <w:pPr>
        <w:rPr>
          <w:rFonts w:ascii="Arial" w:hAnsi="Arial" w:cs="Arial"/>
          <w:color w:val="1F497D"/>
          <w:sz w:val="22"/>
          <w:szCs w:val="22"/>
        </w:rPr>
      </w:pPr>
      <w:r>
        <w:rPr>
          <w:rFonts w:ascii="Arial" w:hAnsi="Arial" w:cs="Arial"/>
          <w:color w:val="1F497D"/>
          <w:sz w:val="22"/>
          <w:szCs w:val="22"/>
        </w:rPr>
        <w:br w:type="page"/>
      </w:r>
    </w:p>
    <w:p w:rsidR="00E65CCD" w:rsidRDefault="00E65CCD" w:rsidP="00466221">
      <w:pPr>
        <w:spacing w:after="200" w:line="276" w:lineRule="auto"/>
        <w:rPr>
          <w:rFonts w:ascii="Arial" w:hAnsi="Arial" w:cs="Arial"/>
          <w:color w:val="1F497D"/>
          <w:sz w:val="22"/>
          <w:szCs w:val="22"/>
        </w:rPr>
      </w:pPr>
    </w:p>
    <w:p w:rsidR="00C82E8B" w:rsidRDefault="00C82E8B" w:rsidP="00466221">
      <w:pPr>
        <w:spacing w:after="200" w:line="276" w:lineRule="auto"/>
        <w:rPr>
          <w:rFonts w:ascii="Arial" w:hAnsi="Arial" w:cs="Arial"/>
          <w:color w:val="1F497D"/>
          <w:sz w:val="22"/>
          <w:szCs w:val="22"/>
        </w:rPr>
      </w:pPr>
    </w:p>
    <w:p w:rsidR="00C82E8B" w:rsidRDefault="00C82E8B" w:rsidP="00466221">
      <w:pPr>
        <w:spacing w:after="200" w:line="276" w:lineRule="auto"/>
        <w:rPr>
          <w:rFonts w:ascii="Arial" w:hAnsi="Arial" w:cs="Arial"/>
          <w:color w:val="1F497D"/>
          <w:sz w:val="22"/>
          <w:szCs w:val="22"/>
        </w:rPr>
      </w:pPr>
    </w:p>
    <w:p w:rsidR="00C82E8B" w:rsidRPr="004F5F2B" w:rsidRDefault="00C82E8B" w:rsidP="00C82E8B">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C82E8B" w:rsidRPr="004F5F2B" w:rsidRDefault="00C82E8B" w:rsidP="00C82E8B">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r w:rsidRPr="004F5F2B">
        <w:rPr>
          <w:rFonts w:ascii="Verdana" w:hAnsi="Verdana"/>
          <w:b/>
          <w:bCs/>
        </w:rPr>
        <w:t xml:space="preserve">SECTION </w:t>
      </w:r>
      <w:r>
        <w:rPr>
          <w:rFonts w:ascii="Verdana" w:hAnsi="Verdana"/>
          <w:b/>
          <w:bCs/>
        </w:rPr>
        <w:t>NINE</w:t>
      </w:r>
    </w:p>
    <w:p w:rsidR="00C82E8B" w:rsidRPr="004F5F2B" w:rsidRDefault="00C82E8B" w:rsidP="00C82E8B">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C82E8B" w:rsidRPr="004F5F2B" w:rsidRDefault="00C82E8B" w:rsidP="00C82E8B">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sz w:val="36"/>
          <w:szCs w:val="36"/>
        </w:rPr>
      </w:pPr>
      <w:r>
        <w:rPr>
          <w:rFonts w:ascii="Verdana" w:hAnsi="Verdana"/>
          <w:b/>
          <w:sz w:val="36"/>
          <w:szCs w:val="36"/>
        </w:rPr>
        <w:t>Separate Elements</w:t>
      </w:r>
    </w:p>
    <w:p w:rsidR="00C82E8B" w:rsidRPr="004F5F2B" w:rsidRDefault="00C82E8B" w:rsidP="00C82E8B">
      <w:pPr>
        <w:pBdr>
          <w:top w:val="single" w:sz="4" w:space="1" w:color="auto" w:shadow="1"/>
          <w:left w:val="single" w:sz="4" w:space="4" w:color="auto" w:shadow="1"/>
          <w:bottom w:val="single" w:sz="4" w:space="1" w:color="auto" w:shadow="1"/>
          <w:right w:val="single" w:sz="4" w:space="4" w:color="auto" w:shadow="1"/>
        </w:pBdr>
        <w:spacing w:before="60" w:after="120"/>
        <w:jc w:val="both"/>
        <w:rPr>
          <w:rFonts w:ascii="Verdana" w:hAnsi="Verdana"/>
          <w:b/>
          <w:bCs/>
        </w:rPr>
      </w:pPr>
    </w:p>
    <w:p w:rsidR="00C82E8B" w:rsidRPr="00C82E8B" w:rsidRDefault="00C82E8B" w:rsidP="00C82E8B">
      <w:pPr>
        <w:pBdr>
          <w:top w:val="single" w:sz="4" w:space="1" w:color="auto" w:shadow="1"/>
          <w:left w:val="single" w:sz="4" w:space="4" w:color="auto" w:shadow="1"/>
          <w:bottom w:val="single" w:sz="4" w:space="1" w:color="auto" w:shadow="1"/>
          <w:right w:val="single" w:sz="4" w:space="4" w:color="auto" w:shadow="1"/>
        </w:pBdr>
        <w:spacing w:before="60" w:after="120"/>
        <w:jc w:val="both"/>
        <w:rPr>
          <w:rFonts w:ascii="Verdana" w:hAnsi="Verdana"/>
          <w:b/>
          <w:bCs/>
        </w:rPr>
      </w:pPr>
    </w:p>
    <w:p w:rsidR="00C82E8B" w:rsidRPr="00C82E8B" w:rsidRDefault="00C82E8B" w:rsidP="00D67ECF">
      <w:pPr>
        <w:pStyle w:val="Paragraphedeliste3"/>
        <w:numPr>
          <w:ilvl w:val="1"/>
          <w:numId w:val="22"/>
        </w:numPr>
        <w:pBdr>
          <w:top w:val="single" w:sz="4" w:space="1" w:color="auto" w:shadow="1"/>
          <w:left w:val="single" w:sz="4" w:space="4" w:color="auto" w:shadow="1"/>
          <w:bottom w:val="single" w:sz="4" w:space="1" w:color="auto" w:shadow="1"/>
          <w:right w:val="single" w:sz="4" w:space="4" w:color="auto" w:shadow="1"/>
        </w:pBdr>
        <w:spacing w:before="60" w:after="120"/>
        <w:jc w:val="both"/>
        <w:rPr>
          <w:rFonts w:ascii="Verdana" w:hAnsi="Verdana"/>
          <w:b/>
          <w:bCs/>
          <w:sz w:val="24"/>
          <w:szCs w:val="24"/>
        </w:rPr>
      </w:pPr>
      <w:r>
        <w:rPr>
          <w:rFonts w:ascii="Verdana" w:hAnsi="Verdana"/>
          <w:b/>
          <w:sz w:val="24"/>
          <w:szCs w:val="24"/>
        </w:rPr>
        <w:t>Li</w:t>
      </w:r>
      <w:r w:rsidRPr="00C82E8B">
        <w:rPr>
          <w:rFonts w:ascii="Verdana" w:hAnsi="Verdana"/>
          <w:b/>
          <w:sz w:val="24"/>
          <w:szCs w:val="24"/>
        </w:rPr>
        <w:t>st of major projects for which the implementation is planned during the programming period</w:t>
      </w:r>
    </w:p>
    <w:p w:rsidR="00C82E8B" w:rsidRPr="004F5F2B" w:rsidRDefault="00C82E8B" w:rsidP="00C82E8B">
      <w:pPr>
        <w:pBdr>
          <w:top w:val="single" w:sz="4" w:space="1" w:color="auto" w:shadow="1"/>
          <w:left w:val="single" w:sz="4" w:space="4" w:color="auto" w:shadow="1"/>
          <w:bottom w:val="single" w:sz="4" w:space="1" w:color="auto" w:shadow="1"/>
          <w:right w:val="single" w:sz="4" w:space="4" w:color="auto" w:shadow="1"/>
        </w:pBdr>
        <w:spacing w:before="60" w:after="120"/>
        <w:jc w:val="both"/>
        <w:rPr>
          <w:rFonts w:ascii="Verdana" w:hAnsi="Verdana"/>
          <w:b/>
          <w:bCs/>
        </w:rPr>
      </w:pPr>
    </w:p>
    <w:p w:rsidR="00C82E8B" w:rsidRPr="004F5F2B" w:rsidRDefault="00C82E8B" w:rsidP="00D67ECF">
      <w:pPr>
        <w:pStyle w:val="Paragraphedeliste3"/>
        <w:numPr>
          <w:ilvl w:val="1"/>
          <w:numId w:val="22"/>
        </w:numPr>
        <w:pBdr>
          <w:top w:val="single" w:sz="4" w:space="1" w:color="auto" w:shadow="1"/>
          <w:left w:val="single" w:sz="4" w:space="4" w:color="auto" w:shadow="1"/>
          <w:bottom w:val="single" w:sz="4" w:space="1" w:color="auto" w:shadow="1"/>
          <w:right w:val="single" w:sz="4" w:space="4" w:color="auto" w:shadow="1"/>
        </w:pBdr>
        <w:spacing w:before="60" w:after="120"/>
        <w:jc w:val="both"/>
        <w:rPr>
          <w:rFonts w:ascii="Verdana" w:hAnsi="Verdana"/>
          <w:b/>
          <w:bCs/>
          <w:sz w:val="24"/>
          <w:szCs w:val="24"/>
        </w:rPr>
      </w:pPr>
      <w:r>
        <w:rPr>
          <w:rFonts w:ascii="Verdana" w:hAnsi="Verdana"/>
          <w:b/>
          <w:bCs/>
          <w:sz w:val="24"/>
          <w:szCs w:val="24"/>
        </w:rPr>
        <w:t>Performance Framework</w:t>
      </w:r>
    </w:p>
    <w:p w:rsidR="00C82E8B" w:rsidRPr="004F5F2B" w:rsidRDefault="00C82E8B" w:rsidP="00C82E8B">
      <w:pPr>
        <w:pBdr>
          <w:top w:val="single" w:sz="4" w:space="1" w:color="auto" w:shadow="1"/>
          <w:left w:val="single" w:sz="4" w:space="4" w:color="auto" w:shadow="1"/>
          <w:bottom w:val="single" w:sz="4" w:space="1" w:color="auto" w:shadow="1"/>
          <w:right w:val="single" w:sz="4" w:space="4" w:color="auto" w:shadow="1"/>
        </w:pBdr>
        <w:spacing w:before="60" w:after="120"/>
        <w:jc w:val="both"/>
        <w:rPr>
          <w:rFonts w:ascii="Verdana" w:hAnsi="Verdana"/>
          <w:b/>
          <w:bCs/>
        </w:rPr>
      </w:pPr>
    </w:p>
    <w:p w:rsidR="00C82E8B" w:rsidRDefault="00C82E8B" w:rsidP="00D67ECF">
      <w:pPr>
        <w:numPr>
          <w:ilvl w:val="1"/>
          <w:numId w:val="22"/>
        </w:numPr>
        <w:pBdr>
          <w:top w:val="single" w:sz="4" w:space="1" w:color="auto" w:shadow="1"/>
          <w:left w:val="single" w:sz="4" w:space="4" w:color="auto" w:shadow="1"/>
          <w:bottom w:val="single" w:sz="4" w:space="1" w:color="auto" w:shadow="1"/>
          <w:right w:val="single" w:sz="4" w:space="4" w:color="auto" w:shadow="1"/>
        </w:pBdr>
        <w:spacing w:before="60" w:after="120"/>
        <w:jc w:val="both"/>
        <w:rPr>
          <w:rFonts w:ascii="Verdana" w:hAnsi="Verdana"/>
          <w:b/>
          <w:bCs/>
        </w:rPr>
      </w:pPr>
      <w:r w:rsidRPr="004F5F2B">
        <w:rPr>
          <w:rFonts w:ascii="Verdana" w:hAnsi="Verdana"/>
          <w:b/>
          <w:bCs/>
        </w:rPr>
        <w:t>List of relevant partners involved in the preparation of the cooperation programme</w:t>
      </w:r>
    </w:p>
    <w:p w:rsidR="00C82E8B" w:rsidRDefault="00C82E8B" w:rsidP="00C82E8B">
      <w:pPr>
        <w:pBdr>
          <w:top w:val="single" w:sz="4" w:space="1" w:color="auto" w:shadow="1"/>
          <w:left w:val="single" w:sz="4" w:space="4" w:color="auto" w:shadow="1"/>
          <w:bottom w:val="single" w:sz="4" w:space="1" w:color="auto" w:shadow="1"/>
          <w:right w:val="single" w:sz="4" w:space="4" w:color="auto" w:shadow="1"/>
        </w:pBdr>
        <w:spacing w:before="60" w:after="120"/>
        <w:jc w:val="both"/>
        <w:rPr>
          <w:rFonts w:ascii="Verdana" w:hAnsi="Verdana"/>
          <w:b/>
          <w:bCs/>
        </w:rPr>
      </w:pPr>
    </w:p>
    <w:p w:rsidR="00C82E8B" w:rsidRPr="00C82E8B" w:rsidRDefault="00C82E8B" w:rsidP="00D67ECF">
      <w:pPr>
        <w:pStyle w:val="Paragraphedeliste3"/>
        <w:numPr>
          <w:ilvl w:val="1"/>
          <w:numId w:val="22"/>
        </w:numPr>
        <w:pBdr>
          <w:top w:val="single" w:sz="4" w:space="1" w:color="auto" w:shadow="1"/>
          <w:left w:val="single" w:sz="4" w:space="4" w:color="auto" w:shadow="1"/>
          <w:bottom w:val="single" w:sz="4" w:space="1" w:color="auto" w:shadow="1"/>
          <w:right w:val="single" w:sz="4" w:space="4" w:color="auto" w:shadow="1"/>
        </w:pBdr>
        <w:spacing w:before="60" w:after="120"/>
        <w:jc w:val="both"/>
        <w:rPr>
          <w:rFonts w:ascii="Verdana" w:hAnsi="Verdana"/>
          <w:b/>
          <w:bCs/>
          <w:sz w:val="24"/>
          <w:szCs w:val="24"/>
        </w:rPr>
      </w:pPr>
      <w:r w:rsidRPr="00C82E8B">
        <w:rPr>
          <w:rFonts w:ascii="Verdana" w:hAnsi="Verdana"/>
          <w:b/>
          <w:sz w:val="24"/>
          <w:szCs w:val="24"/>
        </w:rPr>
        <w:t>Applicable programme implementation conditions governing for the participation of third countries through a contribution of ENI and IPA resources</w:t>
      </w:r>
    </w:p>
    <w:p w:rsidR="00C82E8B" w:rsidRPr="004F5F2B" w:rsidRDefault="00C82E8B" w:rsidP="00C82E8B">
      <w:pPr>
        <w:pBdr>
          <w:top w:val="single" w:sz="4" w:space="1" w:color="auto" w:shadow="1"/>
          <w:left w:val="single" w:sz="4" w:space="4" w:color="auto" w:shadow="1"/>
          <w:bottom w:val="single" w:sz="4" w:space="1" w:color="auto" w:shadow="1"/>
          <w:right w:val="single" w:sz="4" w:space="4" w:color="auto" w:shadow="1"/>
        </w:pBdr>
        <w:spacing w:before="60" w:after="120"/>
        <w:jc w:val="both"/>
        <w:rPr>
          <w:rFonts w:ascii="Verdana" w:hAnsi="Verdana"/>
          <w:b/>
          <w:bCs/>
        </w:rPr>
      </w:pPr>
    </w:p>
    <w:p w:rsidR="00C82E8B" w:rsidRPr="004F5F2B" w:rsidRDefault="00C82E8B" w:rsidP="00C82E8B">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eastAsia="Calibri" w:hAnsi="Verdana"/>
          <w:b/>
          <w:bCs/>
          <w:sz w:val="22"/>
          <w:szCs w:val="22"/>
          <w:lang w:eastAsia="en-US"/>
        </w:rPr>
      </w:pPr>
    </w:p>
    <w:p w:rsidR="00C82E8B" w:rsidRPr="004F5F2B" w:rsidRDefault="00C82E8B" w:rsidP="00C82E8B">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C82E8B" w:rsidRPr="004F5F2B" w:rsidRDefault="00C82E8B" w:rsidP="00C82E8B">
      <w:pPr>
        <w:spacing w:after="200" w:line="276" w:lineRule="auto"/>
        <w:rPr>
          <w:rFonts w:ascii="Arial" w:hAnsi="Arial" w:cs="Arial"/>
          <w:color w:val="1F497D"/>
        </w:rPr>
      </w:pPr>
    </w:p>
    <w:p w:rsidR="00C82E8B" w:rsidRPr="00C82E8B" w:rsidRDefault="00C82E8B" w:rsidP="00466221">
      <w:pPr>
        <w:spacing w:after="200" w:line="276" w:lineRule="auto"/>
        <w:rPr>
          <w:rFonts w:ascii="Arial" w:hAnsi="Arial" w:cs="Arial"/>
          <w:color w:val="1F497D"/>
          <w:sz w:val="22"/>
          <w:szCs w:val="22"/>
        </w:rPr>
      </w:pPr>
    </w:p>
    <w:p w:rsidR="00E65CCD" w:rsidRPr="00C82E8B" w:rsidRDefault="00E65CCD" w:rsidP="00466221">
      <w:pPr>
        <w:spacing w:after="200" w:line="276" w:lineRule="auto"/>
        <w:rPr>
          <w:rFonts w:ascii="Arial" w:hAnsi="Arial" w:cs="Arial"/>
          <w:color w:val="1F497D"/>
          <w:sz w:val="22"/>
          <w:szCs w:val="22"/>
        </w:rPr>
      </w:pPr>
    </w:p>
    <w:p w:rsidR="00E65CCD" w:rsidRPr="00C82E8B" w:rsidRDefault="00E65CCD" w:rsidP="00466221">
      <w:pPr>
        <w:spacing w:after="200" w:line="276" w:lineRule="auto"/>
        <w:rPr>
          <w:rFonts w:ascii="Arial" w:hAnsi="Arial" w:cs="Arial"/>
          <w:color w:val="1F497D"/>
          <w:sz w:val="22"/>
          <w:szCs w:val="22"/>
        </w:rPr>
      </w:pPr>
    </w:p>
    <w:p w:rsidR="00E65CCD" w:rsidRPr="00C82E8B" w:rsidRDefault="00E65CCD" w:rsidP="00466221">
      <w:pPr>
        <w:spacing w:after="200" w:line="276" w:lineRule="auto"/>
        <w:rPr>
          <w:rFonts w:ascii="Arial" w:hAnsi="Arial" w:cs="Arial"/>
          <w:color w:val="1F497D"/>
          <w:sz w:val="22"/>
          <w:szCs w:val="22"/>
        </w:rPr>
      </w:pPr>
    </w:p>
    <w:p w:rsidR="00E65CCD" w:rsidRPr="00C82E8B" w:rsidRDefault="00E65CCD" w:rsidP="00466221">
      <w:pPr>
        <w:spacing w:after="200" w:line="276" w:lineRule="auto"/>
        <w:rPr>
          <w:rFonts w:ascii="Arial" w:hAnsi="Arial" w:cs="Arial"/>
          <w:color w:val="1F497D"/>
          <w:sz w:val="22"/>
          <w:szCs w:val="22"/>
        </w:rPr>
      </w:pPr>
    </w:p>
    <w:p w:rsidR="00E65CCD" w:rsidRPr="00C82E8B" w:rsidRDefault="00E65CCD" w:rsidP="00466221">
      <w:pPr>
        <w:spacing w:after="200" w:line="276" w:lineRule="auto"/>
        <w:rPr>
          <w:rFonts w:ascii="Arial" w:hAnsi="Arial" w:cs="Arial"/>
          <w:color w:val="1F497D"/>
          <w:sz w:val="22"/>
          <w:szCs w:val="22"/>
        </w:rPr>
      </w:pPr>
    </w:p>
    <w:p w:rsidR="00E65CCD" w:rsidRPr="00C82E8B" w:rsidRDefault="00E65CCD" w:rsidP="00466221">
      <w:pPr>
        <w:spacing w:after="200" w:line="276" w:lineRule="auto"/>
        <w:rPr>
          <w:rFonts w:ascii="Arial" w:hAnsi="Arial" w:cs="Arial"/>
          <w:color w:val="1F497D"/>
          <w:sz w:val="22"/>
          <w:szCs w:val="22"/>
        </w:rPr>
      </w:pPr>
    </w:p>
    <w:p w:rsidR="00E65CCD" w:rsidRPr="004F5F2B" w:rsidRDefault="00E65CCD" w:rsidP="00466221">
      <w:pPr>
        <w:spacing w:after="200" w:line="276" w:lineRule="auto"/>
        <w:rPr>
          <w:rFonts w:ascii="Arial" w:hAnsi="Arial" w:cs="Arial"/>
          <w:color w:val="1F497D"/>
        </w:rPr>
      </w:pPr>
    </w:p>
    <w:p w:rsidR="00817B82" w:rsidRPr="004F5F2B" w:rsidRDefault="00817B82" w:rsidP="00A40420">
      <w:pPr>
        <w:pStyle w:val="StyleHeading1Hanging085cm"/>
      </w:pPr>
      <w:bookmarkStart w:id="70" w:name="_Toc384648476"/>
      <w:r w:rsidRPr="004F5F2B">
        <w:t>Section 9. Separate Elements</w:t>
      </w:r>
      <w:bookmarkEnd w:id="70"/>
      <w:r w:rsidRPr="004F5F2B">
        <w:t xml:space="preserve"> </w:t>
      </w:r>
    </w:p>
    <w:p w:rsidR="004C4BB9" w:rsidRPr="00254FD2" w:rsidRDefault="004C4BB9" w:rsidP="00254FD2"/>
    <w:p w:rsidR="00817B82" w:rsidRPr="004F5F2B" w:rsidRDefault="007B5752" w:rsidP="004C4BB9">
      <w:pPr>
        <w:pStyle w:val="2"/>
        <w:spacing w:after="180" w:line="276" w:lineRule="auto"/>
      </w:pPr>
      <w:bookmarkStart w:id="71" w:name="_Toc384648477"/>
      <w:r>
        <w:t>9.1.</w:t>
      </w:r>
      <w:r>
        <w:tab/>
      </w:r>
      <w:r w:rsidR="00817B82" w:rsidRPr="004F5F2B">
        <w:t>A list of major projects</w:t>
      </w:r>
      <w:r w:rsidR="00E16C58" w:rsidRPr="004F5F2B">
        <w:t xml:space="preserve"> for which the implementation is planned during the programming period</w:t>
      </w:r>
      <w:bookmarkEnd w:id="71"/>
    </w:p>
    <w:p w:rsidR="00817B82" w:rsidRPr="00C82E8B" w:rsidRDefault="00817B82" w:rsidP="004C4BB9">
      <w:pPr>
        <w:spacing w:after="180" w:line="276" w:lineRule="auto"/>
        <w:jc w:val="both"/>
        <w:outlineLvl w:val="2"/>
        <w:rPr>
          <w:rFonts w:ascii="Verdana" w:hAnsi="Verdana"/>
          <w:bCs/>
          <w:sz w:val="22"/>
          <w:szCs w:val="22"/>
        </w:rPr>
      </w:pPr>
      <w:bookmarkStart w:id="72" w:name="_Toc384648478"/>
      <w:r w:rsidRPr="00C82E8B">
        <w:rPr>
          <w:rFonts w:ascii="Verdana" w:hAnsi="Verdana"/>
          <w:bCs/>
          <w:sz w:val="22"/>
          <w:szCs w:val="22"/>
        </w:rPr>
        <w:t>Not applicable to URBACT</w:t>
      </w:r>
      <w:bookmarkEnd w:id="72"/>
    </w:p>
    <w:p w:rsidR="004C4BB9" w:rsidRDefault="004C4BB9" w:rsidP="004C4BB9">
      <w:pPr>
        <w:spacing w:after="180" w:line="276" w:lineRule="auto"/>
        <w:jc w:val="both"/>
        <w:outlineLvl w:val="2"/>
        <w:rPr>
          <w:rFonts w:ascii="Verdana" w:hAnsi="Verdana"/>
          <w:b/>
          <w:bCs/>
        </w:rPr>
      </w:pPr>
    </w:p>
    <w:p w:rsidR="00817B82" w:rsidRPr="00627420" w:rsidRDefault="007B5752" w:rsidP="00627420">
      <w:pPr>
        <w:pStyle w:val="2"/>
        <w:spacing w:after="180" w:line="276" w:lineRule="auto"/>
        <w:rPr>
          <w:lang w:eastAsia="ar-SA"/>
        </w:rPr>
      </w:pPr>
      <w:bookmarkStart w:id="73" w:name="_Toc384648479"/>
      <w:r>
        <w:rPr>
          <w:lang w:eastAsia="ar-SA"/>
        </w:rPr>
        <w:t>9.2.</w:t>
      </w:r>
      <w:r>
        <w:rPr>
          <w:lang w:eastAsia="ar-SA"/>
        </w:rPr>
        <w:tab/>
      </w:r>
      <w:r w:rsidR="00817B82" w:rsidRPr="004F5F2B">
        <w:rPr>
          <w:lang w:eastAsia="ar-SA"/>
        </w:rPr>
        <w:t>The performance framework of the cooperation programme</w:t>
      </w:r>
      <w:bookmarkEnd w:id="73"/>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6"/>
        <w:gridCol w:w="1414"/>
        <w:gridCol w:w="993"/>
        <w:gridCol w:w="1984"/>
        <w:gridCol w:w="1701"/>
      </w:tblGrid>
      <w:tr w:rsidR="004B01BB" w:rsidRPr="003F234F" w:rsidTr="00954473">
        <w:trPr>
          <w:trHeight w:val="2255"/>
        </w:trPr>
        <w:tc>
          <w:tcPr>
            <w:tcW w:w="1043" w:type="pct"/>
            <w:tcBorders>
              <w:top w:val="single" w:sz="4" w:space="0" w:color="auto"/>
              <w:left w:val="single" w:sz="4" w:space="0" w:color="auto"/>
              <w:bottom w:val="single" w:sz="4" w:space="0" w:color="auto"/>
              <w:right w:val="single" w:sz="4" w:space="0" w:color="auto"/>
            </w:tcBorders>
            <w:vAlign w:val="center"/>
          </w:tcPr>
          <w:p w:rsidR="004B01BB" w:rsidRPr="003F234F" w:rsidRDefault="004B01BB" w:rsidP="00954473">
            <w:pPr>
              <w:spacing w:before="120" w:after="120"/>
              <w:jc w:val="center"/>
              <w:rPr>
                <w:rFonts w:ascii="Verdana" w:hAnsi="Verdana"/>
                <w:b/>
                <w:i/>
                <w:sz w:val="18"/>
                <w:szCs w:val="18"/>
              </w:rPr>
            </w:pPr>
            <w:r w:rsidRPr="003F234F">
              <w:rPr>
                <w:rFonts w:ascii="Verdana" w:hAnsi="Verdana"/>
                <w:b/>
                <w:i/>
                <w:sz w:val="18"/>
                <w:szCs w:val="18"/>
              </w:rPr>
              <w:t>Implementation</w:t>
            </w:r>
          </w:p>
          <w:p w:rsidR="004B01BB" w:rsidRPr="003F234F" w:rsidRDefault="004B01BB" w:rsidP="00954473">
            <w:pPr>
              <w:spacing w:before="120" w:after="120"/>
              <w:jc w:val="center"/>
              <w:rPr>
                <w:rFonts w:ascii="Verdana" w:hAnsi="Verdana"/>
                <w:b/>
                <w:i/>
                <w:sz w:val="18"/>
                <w:szCs w:val="18"/>
              </w:rPr>
            </w:pPr>
            <w:r w:rsidRPr="003F234F">
              <w:rPr>
                <w:rFonts w:ascii="Verdana" w:hAnsi="Verdana"/>
                <w:b/>
                <w:i/>
                <w:sz w:val="18"/>
                <w:szCs w:val="18"/>
              </w:rPr>
              <w:t>step. financial,</w:t>
            </w:r>
          </w:p>
          <w:p w:rsidR="004B01BB" w:rsidRPr="003F234F" w:rsidRDefault="004B01BB" w:rsidP="00954473">
            <w:pPr>
              <w:spacing w:before="120" w:after="120"/>
              <w:jc w:val="center"/>
              <w:rPr>
                <w:rFonts w:ascii="Verdana" w:hAnsi="Verdana"/>
                <w:b/>
                <w:i/>
                <w:sz w:val="18"/>
                <w:szCs w:val="18"/>
              </w:rPr>
            </w:pPr>
            <w:r w:rsidRPr="003F234F">
              <w:rPr>
                <w:rFonts w:ascii="Verdana" w:hAnsi="Verdana"/>
                <w:b/>
                <w:i/>
                <w:sz w:val="18"/>
                <w:szCs w:val="18"/>
              </w:rPr>
              <w:t>result indicator</w:t>
            </w:r>
          </w:p>
        </w:tc>
        <w:tc>
          <w:tcPr>
            <w:tcW w:w="920" w:type="pct"/>
            <w:tcBorders>
              <w:top w:val="single" w:sz="4" w:space="0" w:color="auto"/>
              <w:left w:val="single" w:sz="4" w:space="0" w:color="auto"/>
              <w:bottom w:val="single" w:sz="4" w:space="0" w:color="auto"/>
              <w:right w:val="single" w:sz="4" w:space="0" w:color="auto"/>
            </w:tcBorders>
            <w:vAlign w:val="center"/>
          </w:tcPr>
          <w:p w:rsidR="004B01BB" w:rsidRPr="003F234F" w:rsidRDefault="004B01BB" w:rsidP="00954473">
            <w:pPr>
              <w:spacing w:before="120" w:after="120"/>
              <w:jc w:val="center"/>
              <w:rPr>
                <w:rFonts w:ascii="Verdana" w:hAnsi="Verdana"/>
                <w:b/>
                <w:i/>
                <w:sz w:val="18"/>
                <w:szCs w:val="18"/>
              </w:rPr>
            </w:pPr>
            <w:r w:rsidRPr="003F234F">
              <w:rPr>
                <w:rFonts w:ascii="Verdana" w:hAnsi="Verdana"/>
                <w:b/>
                <w:i/>
                <w:sz w:val="18"/>
                <w:szCs w:val="18"/>
              </w:rPr>
              <w:t>Measurement Unit</w:t>
            </w:r>
          </w:p>
        </w:tc>
        <w:tc>
          <w:tcPr>
            <w:tcW w:w="705" w:type="pct"/>
            <w:tcBorders>
              <w:top w:val="single" w:sz="4" w:space="0" w:color="auto"/>
              <w:left w:val="single" w:sz="4" w:space="0" w:color="auto"/>
              <w:bottom w:val="single" w:sz="4" w:space="0" w:color="auto"/>
              <w:right w:val="single" w:sz="4" w:space="0" w:color="auto"/>
            </w:tcBorders>
            <w:vAlign w:val="center"/>
          </w:tcPr>
          <w:p w:rsidR="004B01BB" w:rsidRPr="003F234F" w:rsidRDefault="004B01BB" w:rsidP="00954473">
            <w:pPr>
              <w:spacing w:before="120" w:after="120"/>
              <w:jc w:val="center"/>
              <w:rPr>
                <w:rFonts w:ascii="Verdana" w:hAnsi="Verdana"/>
                <w:b/>
                <w:i/>
                <w:sz w:val="18"/>
                <w:szCs w:val="18"/>
              </w:rPr>
            </w:pPr>
            <w:r w:rsidRPr="003F234F">
              <w:rPr>
                <w:rFonts w:ascii="Verdana" w:hAnsi="Verdana"/>
                <w:b/>
                <w:i/>
                <w:sz w:val="18"/>
                <w:szCs w:val="18"/>
              </w:rPr>
              <w:t>Milestone for 2018</w:t>
            </w:r>
          </w:p>
        </w:tc>
        <w:tc>
          <w:tcPr>
            <w:tcW w:w="495" w:type="pct"/>
            <w:tcBorders>
              <w:top w:val="single" w:sz="4" w:space="0" w:color="auto"/>
              <w:left w:val="single" w:sz="4" w:space="0" w:color="auto"/>
              <w:bottom w:val="single" w:sz="4" w:space="0" w:color="auto"/>
              <w:right w:val="single" w:sz="4" w:space="0" w:color="auto"/>
            </w:tcBorders>
            <w:vAlign w:val="center"/>
          </w:tcPr>
          <w:p w:rsidR="004B01BB" w:rsidRPr="003F234F" w:rsidRDefault="004B01BB" w:rsidP="00954473">
            <w:pPr>
              <w:spacing w:before="120" w:after="120"/>
              <w:jc w:val="center"/>
              <w:rPr>
                <w:rFonts w:ascii="Verdana" w:hAnsi="Verdana"/>
                <w:b/>
                <w:i/>
                <w:sz w:val="18"/>
                <w:szCs w:val="18"/>
              </w:rPr>
            </w:pPr>
            <w:r w:rsidRPr="003F234F">
              <w:rPr>
                <w:rFonts w:ascii="Verdana" w:hAnsi="Verdana"/>
                <w:b/>
                <w:i/>
                <w:sz w:val="18"/>
                <w:szCs w:val="18"/>
              </w:rPr>
              <w:t>Final Target</w:t>
            </w:r>
          </w:p>
          <w:p w:rsidR="004B01BB" w:rsidRPr="003F234F" w:rsidRDefault="004B01BB" w:rsidP="00954473">
            <w:pPr>
              <w:spacing w:before="120" w:after="120"/>
              <w:jc w:val="center"/>
              <w:rPr>
                <w:rFonts w:ascii="Verdana" w:hAnsi="Verdana"/>
                <w:b/>
                <w:i/>
                <w:sz w:val="18"/>
                <w:szCs w:val="18"/>
              </w:rPr>
            </w:pPr>
            <w:r w:rsidRPr="003F234F">
              <w:rPr>
                <w:rFonts w:ascii="Verdana" w:hAnsi="Verdana"/>
                <w:b/>
                <w:i/>
                <w:sz w:val="18"/>
                <w:szCs w:val="18"/>
              </w:rPr>
              <w:t>2022</w:t>
            </w:r>
          </w:p>
        </w:tc>
        <w:tc>
          <w:tcPr>
            <w:tcW w:w="989" w:type="pct"/>
            <w:tcBorders>
              <w:top w:val="single" w:sz="4" w:space="0" w:color="auto"/>
              <w:left w:val="single" w:sz="4" w:space="0" w:color="auto"/>
              <w:bottom w:val="single" w:sz="4" w:space="0" w:color="auto"/>
              <w:right w:val="single" w:sz="4" w:space="0" w:color="auto"/>
            </w:tcBorders>
            <w:vAlign w:val="center"/>
          </w:tcPr>
          <w:p w:rsidR="004B01BB" w:rsidRPr="003F234F" w:rsidRDefault="004B01BB" w:rsidP="00954473">
            <w:pPr>
              <w:spacing w:before="120" w:after="120"/>
              <w:jc w:val="center"/>
              <w:rPr>
                <w:rFonts w:ascii="Verdana" w:hAnsi="Verdana"/>
                <w:b/>
                <w:i/>
                <w:sz w:val="18"/>
                <w:szCs w:val="18"/>
              </w:rPr>
            </w:pPr>
            <w:r w:rsidRPr="003F234F">
              <w:rPr>
                <w:rFonts w:ascii="Verdana" w:hAnsi="Verdana"/>
                <w:b/>
                <w:i/>
                <w:sz w:val="18"/>
                <w:szCs w:val="18"/>
              </w:rPr>
              <w:t>Source of data</w:t>
            </w:r>
          </w:p>
        </w:tc>
        <w:tc>
          <w:tcPr>
            <w:tcW w:w="848" w:type="pct"/>
            <w:tcBorders>
              <w:top w:val="single" w:sz="4" w:space="0" w:color="auto"/>
              <w:left w:val="single" w:sz="4" w:space="0" w:color="auto"/>
              <w:bottom w:val="single" w:sz="4" w:space="0" w:color="auto"/>
              <w:right w:val="single" w:sz="4" w:space="0" w:color="auto"/>
            </w:tcBorders>
            <w:vAlign w:val="center"/>
          </w:tcPr>
          <w:p w:rsidR="004B01BB" w:rsidRPr="003F234F" w:rsidRDefault="004B01BB" w:rsidP="00954473">
            <w:pPr>
              <w:spacing w:before="120" w:after="120"/>
              <w:jc w:val="center"/>
              <w:rPr>
                <w:rFonts w:ascii="Verdana" w:hAnsi="Verdana"/>
                <w:b/>
                <w:i/>
                <w:sz w:val="18"/>
                <w:szCs w:val="18"/>
              </w:rPr>
            </w:pPr>
            <w:r w:rsidRPr="003F234F">
              <w:rPr>
                <w:rFonts w:ascii="Verdana" w:hAnsi="Verdana"/>
                <w:b/>
                <w:i/>
                <w:sz w:val="18"/>
                <w:szCs w:val="18"/>
              </w:rPr>
              <w:t>Explanation of the relevance of the indicator, where appropriate</w:t>
            </w:r>
          </w:p>
        </w:tc>
      </w:tr>
      <w:tr w:rsidR="004B01BB" w:rsidRPr="003F234F" w:rsidTr="00954473">
        <w:trPr>
          <w:trHeight w:val="5271"/>
        </w:trPr>
        <w:tc>
          <w:tcPr>
            <w:tcW w:w="1043" w:type="pct"/>
            <w:tcBorders>
              <w:top w:val="single" w:sz="4" w:space="0" w:color="auto"/>
              <w:left w:val="single" w:sz="4" w:space="0" w:color="auto"/>
              <w:bottom w:val="single" w:sz="4" w:space="0" w:color="auto"/>
              <w:right w:val="single" w:sz="4" w:space="0" w:color="auto"/>
            </w:tcBorders>
          </w:tcPr>
          <w:p w:rsidR="004B01BB" w:rsidRPr="003F234F" w:rsidRDefault="004B01BB" w:rsidP="00954473">
            <w:pPr>
              <w:rPr>
                <w:rFonts w:ascii="Verdana" w:hAnsi="Verdana"/>
                <w:i/>
                <w:sz w:val="18"/>
                <w:szCs w:val="18"/>
              </w:rPr>
            </w:pPr>
            <w:r w:rsidRPr="003F234F">
              <w:rPr>
                <w:rFonts w:ascii="Verdana" w:hAnsi="Verdana"/>
                <w:i/>
                <w:sz w:val="18"/>
                <w:szCs w:val="18"/>
              </w:rPr>
              <w:t xml:space="preserve"> </w:t>
            </w:r>
          </w:p>
          <w:p w:rsidR="004B01BB" w:rsidRPr="003F234F" w:rsidRDefault="004B01BB" w:rsidP="00954473">
            <w:pPr>
              <w:rPr>
                <w:rFonts w:ascii="Verdana" w:hAnsi="Verdana"/>
                <w:b/>
                <w:i/>
                <w:sz w:val="18"/>
                <w:szCs w:val="18"/>
              </w:rPr>
            </w:pPr>
            <w:r w:rsidRPr="003F234F">
              <w:rPr>
                <w:rFonts w:ascii="Verdana" w:hAnsi="Verdana"/>
                <w:b/>
                <w:i/>
                <w:sz w:val="18"/>
                <w:szCs w:val="18"/>
              </w:rPr>
              <w:t>1. 1 Urban practitioners in cities have increased their knowledge and capacity in relation to integrated approaches to sustainable development; they are more able to respond to changing circumstances, working with all stakeholders, using new organisational models and tools</w:t>
            </w:r>
          </w:p>
        </w:tc>
        <w:tc>
          <w:tcPr>
            <w:tcW w:w="920" w:type="pct"/>
            <w:tcBorders>
              <w:top w:val="single" w:sz="4" w:space="0" w:color="auto"/>
              <w:left w:val="single" w:sz="4" w:space="0" w:color="auto"/>
              <w:bottom w:val="single" w:sz="4" w:space="0" w:color="auto"/>
              <w:right w:val="single" w:sz="4" w:space="0" w:color="auto"/>
            </w:tcBorders>
          </w:tcPr>
          <w:p w:rsidR="004B01BB" w:rsidRPr="003F234F" w:rsidRDefault="004B01BB" w:rsidP="00954473">
            <w:pPr>
              <w:rPr>
                <w:rFonts w:ascii="Verdana" w:hAnsi="Verdana"/>
                <w:i/>
                <w:sz w:val="18"/>
                <w:szCs w:val="18"/>
              </w:rPr>
            </w:pPr>
            <w:r w:rsidRPr="003F234F">
              <w:rPr>
                <w:rFonts w:ascii="Verdana" w:hAnsi="Verdana"/>
                <w:i/>
                <w:sz w:val="18"/>
                <w:szCs w:val="18"/>
              </w:rPr>
              <w:t>Number of participants</w:t>
            </w:r>
          </w:p>
        </w:tc>
        <w:tc>
          <w:tcPr>
            <w:tcW w:w="705" w:type="pct"/>
            <w:tcBorders>
              <w:top w:val="single" w:sz="4" w:space="0" w:color="auto"/>
              <w:left w:val="single" w:sz="4" w:space="0" w:color="auto"/>
              <w:bottom w:val="single" w:sz="4" w:space="0" w:color="auto"/>
              <w:right w:val="single" w:sz="4" w:space="0" w:color="auto"/>
            </w:tcBorders>
          </w:tcPr>
          <w:p w:rsidR="004B01BB" w:rsidRPr="003F234F" w:rsidRDefault="004B01BB" w:rsidP="00954473">
            <w:pPr>
              <w:spacing w:before="120" w:after="120"/>
              <w:ind w:right="566"/>
              <w:rPr>
                <w:rFonts w:ascii="Verdana" w:hAnsi="Verdana"/>
                <w:i/>
                <w:sz w:val="18"/>
                <w:szCs w:val="18"/>
              </w:rPr>
            </w:pPr>
            <w:r w:rsidRPr="003F234F">
              <w:rPr>
                <w:rFonts w:ascii="Verdana" w:hAnsi="Verdana"/>
                <w:i/>
                <w:sz w:val="18"/>
                <w:szCs w:val="18"/>
              </w:rPr>
              <w:t>600</w:t>
            </w:r>
          </w:p>
          <w:p w:rsidR="004B01BB" w:rsidRPr="003F234F" w:rsidRDefault="004B01BB" w:rsidP="00954473">
            <w:pPr>
              <w:spacing w:before="120" w:after="120"/>
              <w:ind w:right="566"/>
              <w:rPr>
                <w:rFonts w:ascii="Verdana" w:hAnsi="Verdana"/>
                <w:i/>
                <w:sz w:val="18"/>
                <w:szCs w:val="18"/>
              </w:rPr>
            </w:pPr>
          </w:p>
        </w:tc>
        <w:tc>
          <w:tcPr>
            <w:tcW w:w="495" w:type="pct"/>
            <w:tcBorders>
              <w:top w:val="single" w:sz="4" w:space="0" w:color="auto"/>
              <w:left w:val="single" w:sz="4" w:space="0" w:color="auto"/>
              <w:bottom w:val="single" w:sz="4" w:space="0" w:color="auto"/>
              <w:right w:val="single" w:sz="4" w:space="0" w:color="auto"/>
            </w:tcBorders>
          </w:tcPr>
          <w:p w:rsidR="004B01BB" w:rsidRPr="003F234F" w:rsidRDefault="004B01BB" w:rsidP="00954473">
            <w:pPr>
              <w:rPr>
                <w:rFonts w:ascii="Verdana" w:hAnsi="Verdana"/>
                <w:i/>
                <w:sz w:val="18"/>
                <w:szCs w:val="18"/>
              </w:rPr>
            </w:pPr>
            <w:r w:rsidRPr="003F234F">
              <w:rPr>
                <w:rFonts w:ascii="Verdana" w:hAnsi="Verdana"/>
                <w:i/>
                <w:sz w:val="18"/>
                <w:szCs w:val="18"/>
              </w:rPr>
              <w:t>1800</w:t>
            </w:r>
          </w:p>
        </w:tc>
        <w:tc>
          <w:tcPr>
            <w:tcW w:w="989" w:type="pct"/>
            <w:tcBorders>
              <w:top w:val="single" w:sz="4" w:space="0" w:color="auto"/>
              <w:left w:val="single" w:sz="4" w:space="0" w:color="auto"/>
              <w:bottom w:val="single" w:sz="4" w:space="0" w:color="auto"/>
              <w:right w:val="single" w:sz="4" w:space="0" w:color="auto"/>
            </w:tcBorders>
          </w:tcPr>
          <w:p w:rsidR="004B01BB" w:rsidRPr="003F234F" w:rsidRDefault="004B01BB" w:rsidP="00954473">
            <w:pPr>
              <w:spacing w:before="120" w:after="120"/>
              <w:ind w:right="566"/>
              <w:rPr>
                <w:rFonts w:ascii="Verdana" w:hAnsi="Verdana"/>
                <w:b/>
                <w:i/>
                <w:sz w:val="18"/>
                <w:szCs w:val="18"/>
              </w:rPr>
            </w:pPr>
            <w:r w:rsidRPr="003F234F">
              <w:rPr>
                <w:rFonts w:ascii="Verdana" w:hAnsi="Verdana"/>
                <w:i/>
                <w:sz w:val="18"/>
                <w:szCs w:val="18"/>
              </w:rPr>
              <w:t>Standardised self-assessment of individuals involved in all 3 types of networks and capacity-building actions for each round of networks</w:t>
            </w:r>
          </w:p>
        </w:tc>
        <w:tc>
          <w:tcPr>
            <w:tcW w:w="848" w:type="pct"/>
            <w:tcBorders>
              <w:top w:val="single" w:sz="4" w:space="0" w:color="auto"/>
              <w:left w:val="single" w:sz="4" w:space="0" w:color="auto"/>
              <w:bottom w:val="single" w:sz="4" w:space="0" w:color="auto"/>
              <w:right w:val="single" w:sz="4" w:space="0" w:color="auto"/>
            </w:tcBorders>
          </w:tcPr>
          <w:p w:rsidR="004B01BB" w:rsidRPr="003F234F" w:rsidRDefault="004B01BB" w:rsidP="00954473">
            <w:pPr>
              <w:spacing w:before="120" w:after="120"/>
              <w:ind w:right="-108"/>
              <w:rPr>
                <w:rFonts w:ascii="Verdana" w:hAnsi="Verdana"/>
                <w:i/>
                <w:sz w:val="18"/>
                <w:szCs w:val="18"/>
              </w:rPr>
            </w:pPr>
            <w:r w:rsidRPr="003F234F">
              <w:rPr>
                <w:rFonts w:ascii="Verdana" w:hAnsi="Verdana"/>
                <w:i/>
                <w:sz w:val="18"/>
                <w:szCs w:val="18"/>
              </w:rPr>
              <w:t xml:space="preserve">Capacity building is a key target of URBACT under </w:t>
            </w:r>
            <w:r w:rsidRPr="003F234F">
              <w:rPr>
                <w:rFonts w:ascii="Verdana" w:hAnsi="Verdana"/>
                <w:color w:val="000000"/>
                <w:sz w:val="18"/>
                <w:szCs w:val="18"/>
              </w:rPr>
              <w:t>objective 11 ‘Enhancing institutional capacity and efficient public administration’</w:t>
            </w:r>
          </w:p>
        </w:tc>
      </w:tr>
      <w:tr w:rsidR="004B01BB" w:rsidRPr="003F234F" w:rsidTr="00954473">
        <w:trPr>
          <w:trHeight w:val="420"/>
        </w:trPr>
        <w:tc>
          <w:tcPr>
            <w:tcW w:w="1043" w:type="pct"/>
            <w:tcBorders>
              <w:top w:val="single" w:sz="4" w:space="0" w:color="auto"/>
              <w:left w:val="single" w:sz="4" w:space="0" w:color="auto"/>
              <w:bottom w:val="single" w:sz="4" w:space="0" w:color="auto"/>
              <w:right w:val="single" w:sz="4" w:space="0" w:color="auto"/>
            </w:tcBorders>
          </w:tcPr>
          <w:p w:rsidR="004B01BB" w:rsidRPr="003F234F" w:rsidRDefault="004B01BB" w:rsidP="00954473">
            <w:pPr>
              <w:rPr>
                <w:rFonts w:ascii="Verdana" w:hAnsi="Verdana"/>
                <w:b/>
                <w:i/>
                <w:sz w:val="18"/>
                <w:szCs w:val="18"/>
              </w:rPr>
            </w:pPr>
            <w:r w:rsidRPr="003F234F">
              <w:rPr>
                <w:rFonts w:ascii="Verdana" w:hAnsi="Verdana"/>
                <w:b/>
                <w:i/>
                <w:sz w:val="18"/>
                <w:szCs w:val="18"/>
              </w:rPr>
              <w:t>2.Number of cities that have produced integrated strat</w:t>
            </w:r>
            <w:r>
              <w:rPr>
                <w:rFonts w:ascii="Verdana" w:hAnsi="Verdana"/>
                <w:b/>
                <w:i/>
                <w:sz w:val="18"/>
                <w:szCs w:val="18"/>
              </w:rPr>
              <w:t xml:space="preserve">egies and action plans </w:t>
            </w:r>
            <w:r w:rsidRPr="003F234F">
              <w:rPr>
                <w:rFonts w:ascii="Verdana" w:hAnsi="Verdana"/>
                <w:b/>
                <w:i/>
                <w:sz w:val="18"/>
                <w:szCs w:val="18"/>
              </w:rPr>
              <w:t>with the URBACT method</w:t>
            </w:r>
          </w:p>
          <w:p w:rsidR="004B01BB" w:rsidRPr="003F234F" w:rsidRDefault="004B01BB" w:rsidP="00954473">
            <w:pPr>
              <w:spacing w:before="120" w:after="120"/>
              <w:ind w:right="566"/>
              <w:rPr>
                <w:rFonts w:ascii="Verdana" w:hAnsi="Verdana"/>
                <w:b/>
                <w:i/>
                <w:sz w:val="18"/>
                <w:szCs w:val="18"/>
              </w:rPr>
            </w:pPr>
          </w:p>
        </w:tc>
        <w:tc>
          <w:tcPr>
            <w:tcW w:w="920" w:type="pct"/>
            <w:tcBorders>
              <w:top w:val="single" w:sz="4" w:space="0" w:color="auto"/>
              <w:left w:val="single" w:sz="4" w:space="0" w:color="auto"/>
              <w:bottom w:val="single" w:sz="4" w:space="0" w:color="auto"/>
              <w:right w:val="single" w:sz="4" w:space="0" w:color="auto"/>
            </w:tcBorders>
          </w:tcPr>
          <w:p w:rsidR="004B01BB" w:rsidRPr="003F234F" w:rsidRDefault="004B01BB" w:rsidP="00954473">
            <w:pPr>
              <w:spacing w:before="120" w:after="120"/>
              <w:ind w:right="566"/>
              <w:rPr>
                <w:rFonts w:ascii="Verdana" w:hAnsi="Verdana"/>
                <w:b/>
                <w:i/>
                <w:sz w:val="18"/>
                <w:szCs w:val="18"/>
              </w:rPr>
            </w:pPr>
            <w:r w:rsidRPr="003F234F">
              <w:rPr>
                <w:rFonts w:ascii="Verdana" w:hAnsi="Verdana"/>
                <w:i/>
                <w:sz w:val="18"/>
                <w:szCs w:val="18"/>
              </w:rPr>
              <w:t>Number of cities having produced integrated strategies and action plans with the URBACT method</w:t>
            </w:r>
          </w:p>
        </w:tc>
        <w:tc>
          <w:tcPr>
            <w:tcW w:w="705" w:type="pct"/>
            <w:tcBorders>
              <w:top w:val="single" w:sz="4" w:space="0" w:color="auto"/>
              <w:left w:val="single" w:sz="4" w:space="0" w:color="auto"/>
              <w:bottom w:val="single" w:sz="4" w:space="0" w:color="auto"/>
              <w:right w:val="single" w:sz="4" w:space="0" w:color="auto"/>
            </w:tcBorders>
          </w:tcPr>
          <w:p w:rsidR="004B01BB" w:rsidRPr="003F234F" w:rsidRDefault="004B01BB" w:rsidP="00954473">
            <w:pPr>
              <w:spacing w:before="120" w:after="120"/>
              <w:ind w:right="566"/>
              <w:rPr>
                <w:rFonts w:ascii="Verdana" w:hAnsi="Verdana"/>
                <w:i/>
                <w:sz w:val="18"/>
                <w:szCs w:val="18"/>
              </w:rPr>
            </w:pPr>
            <w:r w:rsidRPr="003F234F">
              <w:rPr>
                <w:rFonts w:ascii="Verdana" w:hAnsi="Verdana"/>
                <w:i/>
                <w:sz w:val="18"/>
                <w:szCs w:val="18"/>
              </w:rPr>
              <w:t xml:space="preserve">70 </w:t>
            </w:r>
          </w:p>
          <w:p w:rsidR="004B01BB" w:rsidRPr="003F234F" w:rsidRDefault="004B01BB" w:rsidP="00954473">
            <w:pPr>
              <w:spacing w:before="120" w:after="120"/>
              <w:ind w:right="566"/>
              <w:rPr>
                <w:rFonts w:ascii="Verdana" w:hAnsi="Verdana"/>
                <w:i/>
                <w:sz w:val="18"/>
                <w:szCs w:val="18"/>
              </w:rPr>
            </w:pPr>
          </w:p>
        </w:tc>
        <w:tc>
          <w:tcPr>
            <w:tcW w:w="495" w:type="pct"/>
            <w:tcBorders>
              <w:top w:val="single" w:sz="4" w:space="0" w:color="auto"/>
              <w:left w:val="single" w:sz="4" w:space="0" w:color="auto"/>
              <w:bottom w:val="single" w:sz="4" w:space="0" w:color="auto"/>
              <w:right w:val="single" w:sz="4" w:space="0" w:color="auto"/>
            </w:tcBorders>
          </w:tcPr>
          <w:p w:rsidR="004B01BB" w:rsidRPr="003F234F" w:rsidRDefault="004B01BB" w:rsidP="00954473">
            <w:pPr>
              <w:rPr>
                <w:rFonts w:ascii="Verdana" w:hAnsi="Verdana"/>
                <w:i/>
                <w:sz w:val="18"/>
                <w:szCs w:val="18"/>
              </w:rPr>
            </w:pPr>
            <w:r w:rsidRPr="003F234F">
              <w:rPr>
                <w:rFonts w:ascii="Verdana" w:hAnsi="Verdana"/>
                <w:i/>
                <w:sz w:val="18"/>
                <w:szCs w:val="18"/>
              </w:rPr>
              <w:t>220 cities</w:t>
            </w:r>
          </w:p>
          <w:p w:rsidR="004B01BB" w:rsidRPr="003F234F" w:rsidRDefault="004B01BB" w:rsidP="00954473">
            <w:pPr>
              <w:spacing w:before="120" w:after="120"/>
              <w:ind w:right="566"/>
              <w:rPr>
                <w:rFonts w:ascii="Verdana" w:hAnsi="Verdana"/>
                <w:i/>
                <w:sz w:val="18"/>
                <w:szCs w:val="18"/>
              </w:rPr>
            </w:pPr>
          </w:p>
        </w:tc>
        <w:tc>
          <w:tcPr>
            <w:tcW w:w="989" w:type="pct"/>
            <w:tcBorders>
              <w:top w:val="single" w:sz="4" w:space="0" w:color="auto"/>
              <w:left w:val="single" w:sz="4" w:space="0" w:color="auto"/>
              <w:bottom w:val="single" w:sz="4" w:space="0" w:color="auto"/>
              <w:right w:val="single" w:sz="4" w:space="0" w:color="auto"/>
            </w:tcBorders>
          </w:tcPr>
          <w:p w:rsidR="004B01BB" w:rsidRPr="003F234F" w:rsidRDefault="004B01BB" w:rsidP="00954473">
            <w:pPr>
              <w:spacing w:before="120" w:after="120"/>
              <w:ind w:right="566"/>
              <w:rPr>
                <w:rFonts w:ascii="Verdana" w:hAnsi="Verdana"/>
                <w:b/>
                <w:i/>
                <w:sz w:val="18"/>
                <w:szCs w:val="18"/>
              </w:rPr>
            </w:pPr>
            <w:r w:rsidRPr="003F234F">
              <w:rPr>
                <w:rFonts w:ascii="Verdana" w:hAnsi="Verdana"/>
                <w:i/>
                <w:sz w:val="18"/>
                <w:szCs w:val="18"/>
              </w:rPr>
              <w:t>Self-assessment check by network coordinator in partner city, based on integration questions</w:t>
            </w:r>
          </w:p>
        </w:tc>
        <w:tc>
          <w:tcPr>
            <w:tcW w:w="848" w:type="pct"/>
            <w:tcBorders>
              <w:top w:val="single" w:sz="4" w:space="0" w:color="auto"/>
              <w:left w:val="single" w:sz="4" w:space="0" w:color="auto"/>
              <w:bottom w:val="single" w:sz="4" w:space="0" w:color="auto"/>
              <w:right w:val="single" w:sz="4" w:space="0" w:color="auto"/>
            </w:tcBorders>
          </w:tcPr>
          <w:p w:rsidR="004B01BB" w:rsidRPr="003F234F" w:rsidRDefault="004B01BB" w:rsidP="00954473">
            <w:pPr>
              <w:spacing w:before="120" w:after="120"/>
              <w:ind w:right="-108"/>
              <w:rPr>
                <w:rFonts w:ascii="Verdana" w:hAnsi="Verdana"/>
                <w:i/>
                <w:sz w:val="18"/>
                <w:szCs w:val="18"/>
              </w:rPr>
            </w:pPr>
            <w:r w:rsidRPr="003F234F">
              <w:rPr>
                <w:rFonts w:ascii="Verdana" w:hAnsi="Verdana"/>
                <w:i/>
                <w:sz w:val="18"/>
                <w:szCs w:val="18"/>
              </w:rPr>
              <w:t>The production of Integrated Local Action Plans is a basis for a quality implementation of urban strategies on the ground</w:t>
            </w:r>
          </w:p>
        </w:tc>
      </w:tr>
    </w:tbl>
    <w:p w:rsidR="004C4BB9" w:rsidRDefault="004C4BB9" w:rsidP="004C4BB9">
      <w:pPr>
        <w:spacing w:after="180" w:line="276" w:lineRule="auto"/>
        <w:jc w:val="both"/>
        <w:outlineLvl w:val="2"/>
        <w:rPr>
          <w:rFonts w:ascii="Verdana" w:hAnsi="Verdana"/>
          <w:b/>
          <w:bCs/>
        </w:rPr>
      </w:pPr>
    </w:p>
    <w:p w:rsidR="00817B82" w:rsidRPr="004F5F2B" w:rsidRDefault="007B5752" w:rsidP="00627420">
      <w:pPr>
        <w:pStyle w:val="2"/>
      </w:pPr>
      <w:bookmarkStart w:id="74" w:name="_Toc384648480"/>
      <w:r>
        <w:t>9.3.</w:t>
      </w:r>
      <w:r>
        <w:tab/>
      </w:r>
      <w:r w:rsidR="00817B82" w:rsidRPr="004F5F2B">
        <w:t>List of relevant partners involved in the preparation of the cooperation programme</w:t>
      </w:r>
      <w:bookmarkEnd w:id="74"/>
    </w:p>
    <w:p w:rsidR="00E16C58" w:rsidRPr="00C82E8B" w:rsidRDefault="00F54AEA" w:rsidP="004C4BB9">
      <w:pPr>
        <w:spacing w:after="180" w:line="276" w:lineRule="auto"/>
        <w:jc w:val="both"/>
        <w:rPr>
          <w:rFonts w:ascii="Verdana" w:hAnsi="Verdana"/>
          <w:sz w:val="22"/>
          <w:szCs w:val="22"/>
        </w:rPr>
      </w:pPr>
      <w:r w:rsidRPr="00C82E8B">
        <w:rPr>
          <w:rFonts w:ascii="Verdana" w:hAnsi="Verdana"/>
          <w:sz w:val="22"/>
          <w:szCs w:val="22"/>
        </w:rPr>
        <w:t>The main partners involved in the preparation were the Member States, the cities and the EU level organizations concerned by urban and territorial development as well as the 3 other Interregional Territorial Cooperation programmes</w:t>
      </w:r>
      <w:r w:rsidR="00E16C58" w:rsidRPr="00C82E8B">
        <w:rPr>
          <w:rFonts w:ascii="Verdana" w:hAnsi="Verdana"/>
          <w:sz w:val="22"/>
          <w:szCs w:val="22"/>
        </w:rPr>
        <w:t>.</w:t>
      </w:r>
    </w:p>
    <w:p w:rsidR="00F54AEA" w:rsidRPr="00C82E8B" w:rsidRDefault="00F54AEA" w:rsidP="004C4BB9">
      <w:pPr>
        <w:autoSpaceDE w:val="0"/>
        <w:autoSpaceDN w:val="0"/>
        <w:adjustRightInd w:val="0"/>
        <w:spacing w:after="180" w:line="276" w:lineRule="auto"/>
        <w:jc w:val="both"/>
        <w:rPr>
          <w:rFonts w:ascii="Verdana" w:hAnsi="Verdana"/>
          <w:sz w:val="22"/>
          <w:szCs w:val="22"/>
        </w:rPr>
      </w:pPr>
      <w:r w:rsidRPr="00C82E8B">
        <w:rPr>
          <w:rFonts w:ascii="Verdana" w:hAnsi="Verdana"/>
          <w:sz w:val="22"/>
          <w:szCs w:val="22"/>
        </w:rPr>
        <w:t xml:space="preserve">Concerning the EU level organisation and Interregional Territorial Cooperation Programmes, the following partners were specifically involved: Committee of the Regions (CoR), </w:t>
      </w:r>
      <w:r w:rsidRPr="00C82E8B">
        <w:rPr>
          <w:rFonts w:ascii="Verdana" w:hAnsi="Verdana"/>
          <w:bCs/>
          <w:sz w:val="22"/>
          <w:szCs w:val="22"/>
        </w:rPr>
        <w:t>Council of European Municipalities and Regions</w:t>
      </w:r>
      <w:r w:rsidRPr="00C82E8B">
        <w:rPr>
          <w:rFonts w:ascii="Verdana" w:hAnsi="Verdana"/>
          <w:sz w:val="22"/>
          <w:szCs w:val="22"/>
        </w:rPr>
        <w:t xml:space="preserve"> (CEMR), Eurocities, Energy Cities, Eurotowns, CECODAHS, ICLEI, </w:t>
      </w:r>
      <w:r w:rsidRPr="00C82E8B">
        <w:rPr>
          <w:rFonts w:ascii="Verdana" w:hAnsi="Verdana" w:cs="Calibri"/>
          <w:color w:val="000000"/>
          <w:sz w:val="22"/>
          <w:szCs w:val="22"/>
        </w:rPr>
        <w:t xml:space="preserve">Association of Architects and urban planners, EUKN, Healthy Cities, Mission Opérationnelle Transfrontalière (MOT), Cities for Mobility, POLIS, ESPON, JPI Urban Europe, European Environmental Agency, European </w:t>
      </w:r>
      <w:r w:rsidR="0029014E" w:rsidRPr="00C82E8B">
        <w:rPr>
          <w:rFonts w:ascii="Verdana" w:hAnsi="Verdana" w:cs="Calibri"/>
          <w:color w:val="000000"/>
          <w:sz w:val="22"/>
          <w:szCs w:val="22"/>
        </w:rPr>
        <w:t>Anti-Poverty</w:t>
      </w:r>
      <w:r w:rsidRPr="00C82E8B">
        <w:rPr>
          <w:rFonts w:ascii="Verdana" w:hAnsi="Verdana" w:cs="Calibri"/>
          <w:color w:val="000000"/>
          <w:sz w:val="22"/>
          <w:szCs w:val="22"/>
        </w:rPr>
        <w:t xml:space="preserve"> Network (EAPN), INTERACT, INTERREG IV C, Cooperation Network of European Mid-Size Towns and Cities, EURA, AESOP  Planning EU,  International Urban Food Network (IUFN)</w:t>
      </w:r>
      <w:r w:rsidRPr="00C82E8B">
        <w:rPr>
          <w:rFonts w:ascii="Verdana" w:hAnsi="Verdana"/>
          <w:sz w:val="22"/>
          <w:szCs w:val="22"/>
        </w:rPr>
        <w:t>.</w:t>
      </w:r>
    </w:p>
    <w:p w:rsidR="00F54AEA" w:rsidRPr="00C82E8B" w:rsidRDefault="00F54AEA" w:rsidP="004C4BB9">
      <w:pPr>
        <w:spacing w:after="180" w:line="276" w:lineRule="auto"/>
        <w:rPr>
          <w:rFonts w:ascii="Verdana" w:hAnsi="Verdana"/>
          <w:sz w:val="22"/>
          <w:szCs w:val="22"/>
        </w:rPr>
      </w:pPr>
    </w:p>
    <w:p w:rsidR="00F54AEA" w:rsidRPr="004F5F2B" w:rsidRDefault="007B5752" w:rsidP="00627420">
      <w:pPr>
        <w:pStyle w:val="2"/>
      </w:pPr>
      <w:bookmarkStart w:id="75" w:name="_Toc384648481"/>
      <w:r>
        <w:t>9.4.</w:t>
      </w:r>
      <w:r>
        <w:tab/>
      </w:r>
      <w:r w:rsidR="00F54AEA" w:rsidRPr="004F5F2B">
        <w:t>Applicable programme implementation conditions governing for the participation of third countries through a contribution of ENI and IPA resources</w:t>
      </w:r>
      <w:bookmarkEnd w:id="75"/>
    </w:p>
    <w:p w:rsidR="00F54AEA" w:rsidRPr="00585630" w:rsidRDefault="00192BF2" w:rsidP="00585630">
      <w:pPr>
        <w:rPr>
          <w:rFonts w:ascii="Arial" w:hAnsi="Arial" w:cs="Arial"/>
        </w:rPr>
      </w:pPr>
      <w:r w:rsidRPr="00585630">
        <w:rPr>
          <w:rFonts w:ascii="Arial" w:hAnsi="Arial" w:cs="Arial"/>
        </w:rPr>
        <w:t xml:space="preserve">Not applicable to URBACT </w:t>
      </w:r>
    </w:p>
    <w:p w:rsidR="00817B82" w:rsidRPr="004F5F2B" w:rsidRDefault="00817B82" w:rsidP="00817B82"/>
    <w:p w:rsidR="00F54AEA" w:rsidRPr="004F5F2B" w:rsidRDefault="00F54AEA" w:rsidP="00817B82"/>
    <w:p w:rsidR="004B01BB" w:rsidRDefault="004B01BB">
      <w:r>
        <w:br w:type="page"/>
      </w:r>
    </w:p>
    <w:p w:rsidR="00F54AEA" w:rsidRPr="004F5F2B" w:rsidRDefault="00F54AEA" w:rsidP="00817B82"/>
    <w:p w:rsidR="00F54AEA" w:rsidRPr="004F5F2B" w:rsidRDefault="00F54AEA" w:rsidP="00817B82"/>
    <w:p w:rsidR="00F54AEA" w:rsidRPr="004F5F2B" w:rsidRDefault="00F54AEA" w:rsidP="00817B82"/>
    <w:p w:rsidR="00F54AEA" w:rsidRPr="004F5F2B" w:rsidRDefault="00F54AEA" w:rsidP="00817B82"/>
    <w:p w:rsidR="00F54AEA" w:rsidRPr="004F5F2B" w:rsidRDefault="00F54AEA" w:rsidP="00817B82"/>
    <w:p w:rsidR="00817B82" w:rsidRPr="004F5F2B" w:rsidRDefault="00817B82" w:rsidP="00817B82"/>
    <w:p w:rsidR="00F54AEA" w:rsidRPr="004F5F2B" w:rsidRDefault="00F54AEA" w:rsidP="00817B82"/>
    <w:p w:rsidR="00817B82" w:rsidRPr="004F5F2B" w:rsidRDefault="00817B82" w:rsidP="00817B82"/>
    <w:p w:rsidR="00466221" w:rsidRPr="004F5F2B" w:rsidRDefault="00466221" w:rsidP="00466221">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466221" w:rsidRPr="004F5F2B" w:rsidRDefault="00466221" w:rsidP="00466221">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466221" w:rsidRPr="004F5F2B" w:rsidRDefault="00466221" w:rsidP="00466221">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rPr>
      </w:pPr>
    </w:p>
    <w:p w:rsidR="00466221" w:rsidRPr="00403EA5" w:rsidRDefault="00466221" w:rsidP="00466221">
      <w:pPr>
        <w:pBdr>
          <w:top w:val="single" w:sz="4" w:space="1" w:color="auto" w:shadow="1"/>
          <w:left w:val="single" w:sz="4" w:space="4" w:color="auto" w:shadow="1"/>
          <w:bottom w:val="single" w:sz="4" w:space="1" w:color="auto" w:shadow="1"/>
          <w:right w:val="single" w:sz="4" w:space="4" w:color="auto" w:shadow="1"/>
        </w:pBdr>
        <w:spacing w:before="60"/>
        <w:jc w:val="center"/>
        <w:rPr>
          <w:rFonts w:ascii="Verdana" w:hAnsi="Verdana"/>
          <w:b/>
          <w:bCs/>
          <w:sz w:val="36"/>
          <w:szCs w:val="36"/>
        </w:rPr>
      </w:pPr>
      <w:r w:rsidRPr="00403EA5">
        <w:rPr>
          <w:rFonts w:ascii="Verdana" w:hAnsi="Verdana"/>
          <w:b/>
          <w:sz w:val="36"/>
          <w:szCs w:val="36"/>
        </w:rPr>
        <w:t>Annexes</w:t>
      </w:r>
    </w:p>
    <w:p w:rsidR="00466221" w:rsidRPr="00403EA5" w:rsidRDefault="00466221" w:rsidP="00466221">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1F0EC4" w:rsidRPr="00403EA5" w:rsidRDefault="001F0EC4" w:rsidP="00466221">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466221" w:rsidRPr="00403EA5" w:rsidRDefault="00466221" w:rsidP="00466221">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466221" w:rsidRPr="00403EA5" w:rsidRDefault="00466221" w:rsidP="00466221">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r w:rsidRPr="00403EA5">
        <w:rPr>
          <w:rFonts w:ascii="Verdana" w:hAnsi="Verdana"/>
          <w:b/>
          <w:bCs/>
        </w:rPr>
        <w:t>Annexe 1</w:t>
      </w:r>
      <w:r w:rsidRPr="00403EA5">
        <w:rPr>
          <w:rFonts w:ascii="Verdana" w:hAnsi="Verdana"/>
          <w:b/>
          <w:bCs/>
        </w:rPr>
        <w:tab/>
      </w:r>
      <w:r w:rsidRPr="00403EA5">
        <w:rPr>
          <w:rFonts w:ascii="Verdana" w:hAnsi="Verdana"/>
          <w:b/>
          <w:bCs/>
        </w:rPr>
        <w:tab/>
        <w:t>Ex-Ante Evaluation Report</w:t>
      </w:r>
    </w:p>
    <w:p w:rsidR="00466221" w:rsidRPr="00403EA5" w:rsidRDefault="00466221" w:rsidP="00466221">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1F0EC4" w:rsidRPr="00403EA5" w:rsidRDefault="001F0EC4" w:rsidP="00466221">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466221" w:rsidRPr="004F5F2B" w:rsidRDefault="00466221" w:rsidP="00466221">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r w:rsidRPr="004F5F2B">
        <w:rPr>
          <w:rFonts w:ascii="Verdana" w:hAnsi="Verdana"/>
          <w:b/>
          <w:bCs/>
        </w:rPr>
        <w:t>Annexe 2</w:t>
      </w:r>
      <w:r w:rsidRPr="004F5F2B">
        <w:rPr>
          <w:rFonts w:ascii="Verdana" w:hAnsi="Verdana"/>
          <w:b/>
          <w:bCs/>
        </w:rPr>
        <w:tab/>
      </w:r>
      <w:r w:rsidRPr="004F5F2B">
        <w:rPr>
          <w:rFonts w:ascii="Verdana" w:hAnsi="Verdana"/>
          <w:b/>
          <w:bCs/>
        </w:rPr>
        <w:tab/>
        <w:t>Member and Partner States Agreement</w:t>
      </w:r>
    </w:p>
    <w:p w:rsidR="00466221" w:rsidRPr="004F5F2B" w:rsidRDefault="00466221" w:rsidP="00466221">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1F0EC4" w:rsidRPr="004F5F2B" w:rsidRDefault="001F0EC4" w:rsidP="00466221">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466221" w:rsidRPr="004F5F2B" w:rsidRDefault="00466221" w:rsidP="00466221">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r w:rsidRPr="004F5F2B">
        <w:rPr>
          <w:rFonts w:ascii="Verdana" w:hAnsi="Verdana"/>
          <w:b/>
          <w:bCs/>
        </w:rPr>
        <w:t>Annexe 3</w:t>
      </w:r>
      <w:r w:rsidRPr="004F5F2B">
        <w:rPr>
          <w:rFonts w:ascii="Verdana" w:hAnsi="Verdana"/>
          <w:b/>
          <w:bCs/>
        </w:rPr>
        <w:tab/>
      </w:r>
      <w:r w:rsidRPr="004F5F2B">
        <w:rPr>
          <w:rFonts w:ascii="Verdana" w:hAnsi="Verdana"/>
          <w:b/>
          <w:bCs/>
        </w:rPr>
        <w:tab/>
        <w:t xml:space="preserve">Map of the Programme Area </w:t>
      </w:r>
    </w:p>
    <w:p w:rsidR="00466221" w:rsidRPr="004F5F2B" w:rsidRDefault="00466221" w:rsidP="00466221">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1F0EC4" w:rsidRPr="004F5F2B" w:rsidRDefault="001F0EC4" w:rsidP="00466221">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rPr>
      </w:pPr>
    </w:p>
    <w:p w:rsidR="00466221" w:rsidRPr="00E63C1B" w:rsidRDefault="00466221" w:rsidP="00466221">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lang w:val="fr-FR"/>
        </w:rPr>
      </w:pPr>
      <w:r w:rsidRPr="00E63C1B">
        <w:rPr>
          <w:rFonts w:ascii="Verdana" w:hAnsi="Verdana"/>
          <w:b/>
          <w:bCs/>
          <w:lang w:val="fr-FR"/>
        </w:rPr>
        <w:t>Annexe 4</w:t>
      </w:r>
      <w:r w:rsidRPr="00E63C1B">
        <w:rPr>
          <w:rFonts w:ascii="Verdana" w:hAnsi="Verdana"/>
          <w:b/>
          <w:bCs/>
          <w:lang w:val="fr-FR"/>
        </w:rPr>
        <w:tab/>
      </w:r>
      <w:r w:rsidRPr="00FF718D">
        <w:rPr>
          <w:rFonts w:ascii="Verdana" w:hAnsi="Verdana"/>
          <w:b/>
          <w:bCs/>
          <w:lang w:val="fr-FR"/>
        </w:rPr>
        <w:tab/>
        <w:t xml:space="preserve">Strategic </w:t>
      </w:r>
      <w:r w:rsidR="00585630" w:rsidRPr="00FF718D">
        <w:rPr>
          <w:rFonts w:ascii="Verdana" w:hAnsi="Verdana"/>
          <w:b/>
          <w:bCs/>
          <w:lang w:val="fr-FR"/>
        </w:rPr>
        <w:t>Environmental</w:t>
      </w:r>
      <w:r w:rsidRPr="008B00B7">
        <w:rPr>
          <w:rFonts w:ascii="Verdana" w:hAnsi="Verdana"/>
          <w:b/>
          <w:bCs/>
          <w:lang w:val="fr-FR"/>
        </w:rPr>
        <w:t xml:space="preserve"> </w:t>
      </w:r>
      <w:r w:rsidR="00A720B1" w:rsidRPr="008B00B7">
        <w:rPr>
          <w:rFonts w:ascii="Verdana" w:hAnsi="Verdana"/>
          <w:b/>
          <w:bCs/>
          <w:lang w:val="fr-FR"/>
        </w:rPr>
        <w:t>Assessment</w:t>
      </w:r>
    </w:p>
    <w:p w:rsidR="00466221" w:rsidRPr="00E63C1B" w:rsidRDefault="00466221" w:rsidP="00466221">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eastAsia="Calibri" w:hAnsi="Verdana"/>
          <w:b/>
          <w:bCs/>
          <w:sz w:val="22"/>
          <w:szCs w:val="22"/>
          <w:lang w:val="fr-FR" w:eastAsia="en-US"/>
        </w:rPr>
      </w:pPr>
    </w:p>
    <w:p w:rsidR="001F0EC4" w:rsidRPr="00E63C1B" w:rsidRDefault="001F0EC4" w:rsidP="00466221">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eastAsia="Calibri" w:hAnsi="Verdana"/>
          <w:b/>
          <w:bCs/>
          <w:sz w:val="22"/>
          <w:szCs w:val="22"/>
          <w:lang w:val="fr-FR" w:eastAsia="en-US"/>
        </w:rPr>
      </w:pPr>
    </w:p>
    <w:p w:rsidR="00466221" w:rsidRPr="00E63C1B" w:rsidRDefault="00466221" w:rsidP="00466221">
      <w:pPr>
        <w:pBdr>
          <w:top w:val="single" w:sz="4" w:space="1" w:color="auto" w:shadow="1"/>
          <w:left w:val="single" w:sz="4" w:space="4" w:color="auto" w:shadow="1"/>
          <w:bottom w:val="single" w:sz="4" w:space="1" w:color="auto" w:shadow="1"/>
          <w:right w:val="single" w:sz="4" w:space="4" w:color="auto" w:shadow="1"/>
        </w:pBdr>
        <w:spacing w:before="60"/>
        <w:jc w:val="both"/>
        <w:rPr>
          <w:rFonts w:ascii="Verdana" w:hAnsi="Verdana"/>
          <w:b/>
          <w:bCs/>
          <w:lang w:val="fr-FR"/>
        </w:rPr>
      </w:pPr>
    </w:p>
    <w:p w:rsidR="00466221" w:rsidRPr="00E63C1B" w:rsidRDefault="00466221" w:rsidP="00466221">
      <w:pPr>
        <w:spacing w:after="200" w:line="276" w:lineRule="auto"/>
        <w:rPr>
          <w:rFonts w:ascii="Arial" w:hAnsi="Arial" w:cs="Arial"/>
          <w:color w:val="1F497D"/>
          <w:lang w:val="fr-FR"/>
        </w:rPr>
      </w:pPr>
    </w:p>
    <w:p w:rsidR="00DB7DC7" w:rsidRPr="00E63C1B" w:rsidRDefault="00DB7DC7" w:rsidP="00DB7DC7">
      <w:pPr>
        <w:spacing w:before="100" w:beforeAutospacing="1" w:after="100" w:afterAutospacing="1"/>
        <w:rPr>
          <w:rFonts w:ascii="Arial" w:hAnsi="Arial" w:cs="Arial"/>
          <w:color w:val="1F497D"/>
          <w:lang w:val="fr-FR"/>
        </w:rPr>
      </w:pPr>
    </w:p>
    <w:p w:rsidR="00A720B1" w:rsidRPr="00E63C1B" w:rsidRDefault="00A720B1">
      <w:pPr>
        <w:spacing w:after="200" w:line="276" w:lineRule="auto"/>
        <w:rPr>
          <w:rFonts w:ascii="Arial" w:hAnsi="Arial" w:cs="Arial"/>
          <w:color w:val="1F497D"/>
          <w:lang w:val="fr-FR"/>
        </w:rPr>
      </w:pPr>
      <w:r w:rsidRPr="00E63C1B">
        <w:rPr>
          <w:rFonts w:ascii="Arial" w:hAnsi="Arial" w:cs="Arial"/>
          <w:color w:val="1F497D"/>
          <w:lang w:val="fr-FR"/>
        </w:rPr>
        <w:br w:type="page"/>
      </w:r>
    </w:p>
    <w:p w:rsidR="00A720B1" w:rsidRPr="00CB6B70" w:rsidRDefault="00A720B1" w:rsidP="00D670AA">
      <w:pPr>
        <w:pStyle w:val="2"/>
        <w:rPr>
          <w:lang w:val="fr-FR"/>
        </w:rPr>
      </w:pPr>
      <w:bookmarkStart w:id="76" w:name="_Toc384648482"/>
      <w:r w:rsidRPr="00CB6B70">
        <w:rPr>
          <w:lang w:val="fr-FR"/>
        </w:rPr>
        <w:t>ANNEXE 1 Ex-Ante Evaluation Report</w:t>
      </w:r>
      <w:bookmarkEnd w:id="76"/>
    </w:p>
    <w:p w:rsidR="00A720B1" w:rsidRPr="00CB6B70" w:rsidRDefault="00A720B1" w:rsidP="00DB7DC7">
      <w:pPr>
        <w:spacing w:before="100" w:beforeAutospacing="1" w:after="100" w:afterAutospacing="1"/>
        <w:rPr>
          <w:lang w:val="fr-FR"/>
        </w:rPr>
      </w:pPr>
    </w:p>
    <w:p w:rsidR="00466221" w:rsidRPr="00CB6B70" w:rsidRDefault="00466221" w:rsidP="00DB7DC7">
      <w:pPr>
        <w:spacing w:before="100" w:beforeAutospacing="1" w:after="100" w:afterAutospacing="1"/>
        <w:rPr>
          <w:lang w:val="fr-FR"/>
        </w:rPr>
      </w:pPr>
    </w:p>
    <w:p w:rsidR="00466221" w:rsidRPr="00CB6B70" w:rsidRDefault="00466221" w:rsidP="00DB7DC7">
      <w:pPr>
        <w:spacing w:before="100" w:beforeAutospacing="1" w:after="100" w:afterAutospacing="1"/>
        <w:rPr>
          <w:lang w:val="fr-FR"/>
        </w:rPr>
      </w:pPr>
    </w:p>
    <w:p w:rsidR="00466221" w:rsidRPr="00CB6B70" w:rsidRDefault="00466221" w:rsidP="00DB7DC7">
      <w:pPr>
        <w:spacing w:before="100" w:beforeAutospacing="1" w:after="100" w:afterAutospacing="1"/>
        <w:rPr>
          <w:lang w:val="fr-FR"/>
        </w:rPr>
      </w:pPr>
    </w:p>
    <w:p w:rsidR="00466221" w:rsidRPr="00CB6B70" w:rsidRDefault="00466221" w:rsidP="00DB7DC7">
      <w:pPr>
        <w:spacing w:before="100" w:beforeAutospacing="1" w:after="100" w:afterAutospacing="1"/>
        <w:rPr>
          <w:lang w:val="fr-FR"/>
        </w:rPr>
      </w:pPr>
    </w:p>
    <w:p w:rsidR="00466221" w:rsidRPr="00CB6B70" w:rsidRDefault="00466221" w:rsidP="00DB7DC7">
      <w:pPr>
        <w:spacing w:before="100" w:beforeAutospacing="1" w:after="100" w:afterAutospacing="1"/>
        <w:rPr>
          <w:lang w:val="fr-FR"/>
        </w:rPr>
      </w:pPr>
    </w:p>
    <w:p w:rsidR="00DB7DC7" w:rsidRPr="00CB6B70" w:rsidRDefault="00DB7DC7" w:rsidP="0099587B">
      <w:pPr>
        <w:rPr>
          <w:rFonts w:eastAsia="Arial"/>
          <w:lang w:val="fr-FR"/>
        </w:rPr>
      </w:pPr>
    </w:p>
    <w:p w:rsidR="00DB7DC7" w:rsidRPr="00CB6B70" w:rsidRDefault="00DB7DC7" w:rsidP="0099587B">
      <w:pPr>
        <w:rPr>
          <w:rFonts w:eastAsia="Arial"/>
          <w:lang w:val="fr-FR"/>
        </w:rPr>
      </w:pPr>
    </w:p>
    <w:p w:rsidR="00DB7DC7" w:rsidRPr="00CB6B70" w:rsidRDefault="00DB7DC7" w:rsidP="0099587B">
      <w:pPr>
        <w:rPr>
          <w:rFonts w:eastAsia="Arial"/>
          <w:lang w:val="fr-FR"/>
        </w:rPr>
      </w:pPr>
    </w:p>
    <w:p w:rsidR="00B438B7" w:rsidRPr="00CB6B70" w:rsidRDefault="00B438B7" w:rsidP="0099587B">
      <w:pPr>
        <w:rPr>
          <w:rFonts w:eastAsia="Arial"/>
          <w:lang w:val="fr-FR"/>
        </w:rPr>
      </w:pPr>
    </w:p>
    <w:p w:rsidR="00B438B7" w:rsidRPr="00CB6B70" w:rsidRDefault="00B438B7" w:rsidP="0099587B">
      <w:pPr>
        <w:rPr>
          <w:rFonts w:eastAsia="Arial"/>
          <w:lang w:val="fr-FR"/>
        </w:rPr>
      </w:pPr>
    </w:p>
    <w:p w:rsidR="009400AD" w:rsidRPr="00CB6B70" w:rsidRDefault="009400AD" w:rsidP="000265F1">
      <w:pPr>
        <w:rPr>
          <w:lang w:val="fr-FR"/>
        </w:rPr>
      </w:pPr>
    </w:p>
    <w:p w:rsidR="00A720B1" w:rsidRPr="00CB6B70" w:rsidRDefault="00A720B1" w:rsidP="000265F1">
      <w:pPr>
        <w:rPr>
          <w:lang w:val="fr-FR"/>
        </w:rPr>
      </w:pPr>
    </w:p>
    <w:p w:rsidR="00A720B1" w:rsidRPr="00CB6B70" w:rsidRDefault="00A720B1">
      <w:pPr>
        <w:spacing w:after="200" w:line="276" w:lineRule="auto"/>
        <w:rPr>
          <w:lang w:val="fr-FR"/>
        </w:rPr>
      </w:pPr>
      <w:r w:rsidRPr="00CB6B70">
        <w:rPr>
          <w:lang w:val="fr-FR"/>
        </w:rPr>
        <w:br w:type="page"/>
      </w:r>
    </w:p>
    <w:p w:rsidR="00A720B1" w:rsidRPr="00A97643" w:rsidRDefault="00A720B1" w:rsidP="00D670AA">
      <w:pPr>
        <w:pStyle w:val="2"/>
      </w:pPr>
      <w:bookmarkStart w:id="77" w:name="_Toc384648483"/>
      <w:r w:rsidRPr="00A97643">
        <w:t>ANNEXE 2 Member and Partner States Agreement</w:t>
      </w:r>
      <w:bookmarkEnd w:id="77"/>
    </w:p>
    <w:p w:rsidR="00A720B1" w:rsidRPr="00A97643" w:rsidRDefault="00A720B1" w:rsidP="00A720B1">
      <w:pPr>
        <w:pStyle w:val="af1"/>
        <w:ind w:right="134" w:firstLine="709"/>
      </w:pPr>
      <w:r w:rsidRPr="00A97643">
        <w:object w:dxaOrig="3600" w:dyaOrig="1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51.75pt" o:ole="">
            <v:imagedata r:id="rId30" o:title=""/>
          </v:shape>
          <o:OLEObject Type="Embed" ProgID="MSPhotoEd.3" ShapeID="_x0000_i1025" DrawAspect="Content" ObjectID="_1459062218" r:id="rId31"/>
        </w:object>
      </w:r>
    </w:p>
    <w:p w:rsidR="00A720B1" w:rsidRPr="00403EA5" w:rsidRDefault="00A720B1" w:rsidP="00A720B1">
      <w:pPr>
        <w:jc w:val="center"/>
        <w:rPr>
          <w:rFonts w:ascii="Verdana" w:hAnsi="Verdana"/>
          <w:b/>
          <w:sz w:val="22"/>
          <w:szCs w:val="22"/>
        </w:rPr>
      </w:pPr>
      <w:r w:rsidRPr="00403EA5">
        <w:rPr>
          <w:rFonts w:ascii="Verdana" w:hAnsi="Verdana"/>
          <w:b/>
          <w:sz w:val="22"/>
          <w:szCs w:val="22"/>
        </w:rPr>
        <w:t xml:space="preserve">URBACT III European Territorial Cooperation programme </w:t>
      </w:r>
    </w:p>
    <w:p w:rsidR="00A720B1" w:rsidRPr="00403EA5" w:rsidRDefault="00A720B1" w:rsidP="00A720B1">
      <w:pPr>
        <w:jc w:val="center"/>
        <w:rPr>
          <w:rFonts w:ascii="Verdana" w:hAnsi="Verdana"/>
          <w:b/>
          <w:sz w:val="22"/>
          <w:szCs w:val="22"/>
        </w:rPr>
      </w:pPr>
      <w:r w:rsidRPr="00403EA5">
        <w:rPr>
          <w:rFonts w:ascii="Verdana" w:hAnsi="Verdana"/>
          <w:b/>
          <w:sz w:val="22"/>
          <w:szCs w:val="22"/>
        </w:rPr>
        <w:t xml:space="preserve">Member State Agreement </w:t>
      </w:r>
    </w:p>
    <w:p w:rsidR="00A720B1" w:rsidRPr="00A97643" w:rsidRDefault="00A720B1" w:rsidP="00A720B1">
      <w:pPr>
        <w:jc w:val="both"/>
      </w:pPr>
    </w:p>
    <w:p w:rsidR="00403EA5" w:rsidRPr="00A344CC" w:rsidRDefault="00403EA5" w:rsidP="00403EA5">
      <w:pPr>
        <w:jc w:val="both"/>
        <w:rPr>
          <w:rFonts w:ascii="Verdana" w:hAnsi="Verdana" w:cs="Arial"/>
          <w:bCs/>
          <w:color w:val="000000"/>
          <w:sz w:val="22"/>
          <w:szCs w:val="22"/>
        </w:rPr>
      </w:pPr>
      <w:r w:rsidRPr="00A344CC">
        <w:rPr>
          <w:rFonts w:ascii="Verdana" w:hAnsi="Verdana" w:cs="Arial"/>
          <w:bCs/>
          <w:color w:val="000000"/>
          <w:sz w:val="22"/>
          <w:szCs w:val="22"/>
        </w:rPr>
        <w:t xml:space="preserve">Having regard to the EU regulations laying down provisions on the Structural Funds, in particular Regulation </w:t>
      </w:r>
      <w:r w:rsidRPr="005E0210">
        <w:rPr>
          <w:rFonts w:ascii="Verdana" w:hAnsi="Verdana" w:cs="Arial"/>
          <w:bCs/>
          <w:color w:val="000000"/>
          <w:sz w:val="22"/>
          <w:szCs w:val="22"/>
        </w:rPr>
        <w:t xml:space="preserve">(EU) No </w:t>
      </w:r>
      <w:r>
        <w:rPr>
          <w:rFonts w:ascii="Verdana" w:hAnsi="Verdana" w:cs="Arial"/>
          <w:bCs/>
          <w:color w:val="000000"/>
          <w:sz w:val="22"/>
          <w:szCs w:val="22"/>
        </w:rPr>
        <w:t>1303</w:t>
      </w:r>
      <w:r w:rsidRPr="005E0210">
        <w:rPr>
          <w:rFonts w:ascii="Verdana" w:hAnsi="Verdana" w:cs="Arial"/>
          <w:bCs/>
          <w:color w:val="000000"/>
          <w:sz w:val="22"/>
          <w:szCs w:val="22"/>
        </w:rPr>
        <w:t>/2013</w:t>
      </w:r>
      <w:r>
        <w:rPr>
          <w:rFonts w:ascii="Verdana" w:hAnsi="Verdana" w:cs="Arial"/>
          <w:bCs/>
          <w:color w:val="000000"/>
          <w:sz w:val="22"/>
          <w:szCs w:val="22"/>
        </w:rPr>
        <w:t xml:space="preserve"> </w:t>
      </w:r>
      <w:r w:rsidRPr="00A344CC">
        <w:rPr>
          <w:rFonts w:ascii="Verdana" w:hAnsi="Verdana" w:cs="Arial"/>
          <w:bCs/>
          <w:color w:val="000000"/>
          <w:sz w:val="22"/>
          <w:szCs w:val="22"/>
        </w:rPr>
        <w:t>of the European Parliament and the Council (“CPR</w:t>
      </w:r>
      <w:r>
        <w:rPr>
          <w:rFonts w:ascii="Verdana" w:hAnsi="Verdana" w:cs="Arial"/>
          <w:bCs/>
          <w:color w:val="000000"/>
          <w:sz w:val="22"/>
          <w:szCs w:val="22"/>
        </w:rPr>
        <w:t xml:space="preserve"> Regulation”), the Regulation</w:t>
      </w:r>
      <w:r w:rsidRPr="00A344CC">
        <w:rPr>
          <w:rFonts w:ascii="Verdana" w:hAnsi="Verdana" w:cs="Arial"/>
          <w:bCs/>
          <w:color w:val="000000"/>
          <w:sz w:val="22"/>
          <w:szCs w:val="22"/>
        </w:rPr>
        <w:t xml:space="preserve"> </w:t>
      </w:r>
      <w:r w:rsidRPr="005E0210">
        <w:rPr>
          <w:rFonts w:ascii="Verdana" w:hAnsi="Verdana" w:cs="Arial"/>
          <w:bCs/>
          <w:color w:val="000000"/>
          <w:sz w:val="22"/>
          <w:szCs w:val="22"/>
        </w:rPr>
        <w:t xml:space="preserve">(EU) No </w:t>
      </w:r>
      <w:r>
        <w:rPr>
          <w:rFonts w:ascii="Verdana" w:hAnsi="Verdana" w:cs="Arial"/>
          <w:bCs/>
          <w:color w:val="000000"/>
          <w:sz w:val="22"/>
          <w:szCs w:val="22"/>
        </w:rPr>
        <w:t>1301</w:t>
      </w:r>
      <w:r w:rsidRPr="005E0210">
        <w:rPr>
          <w:rFonts w:ascii="Verdana" w:hAnsi="Verdana" w:cs="Arial"/>
          <w:bCs/>
          <w:color w:val="000000"/>
          <w:sz w:val="22"/>
          <w:szCs w:val="22"/>
        </w:rPr>
        <w:t>/2013</w:t>
      </w:r>
      <w:r>
        <w:rPr>
          <w:rFonts w:ascii="Verdana" w:hAnsi="Verdana" w:cs="Arial"/>
          <w:bCs/>
          <w:color w:val="000000"/>
          <w:sz w:val="22"/>
          <w:szCs w:val="22"/>
        </w:rPr>
        <w:t xml:space="preserve"> </w:t>
      </w:r>
      <w:r w:rsidRPr="00A344CC">
        <w:rPr>
          <w:rFonts w:ascii="Verdana" w:hAnsi="Verdana" w:cs="Arial"/>
          <w:bCs/>
          <w:color w:val="000000"/>
          <w:sz w:val="22"/>
          <w:szCs w:val="22"/>
        </w:rPr>
        <w:t>of the European Parliament and the Council (“ERDF R</w:t>
      </w:r>
      <w:r>
        <w:rPr>
          <w:rFonts w:ascii="Verdana" w:hAnsi="Verdana" w:cs="Arial"/>
          <w:bCs/>
          <w:color w:val="000000"/>
          <w:sz w:val="22"/>
          <w:szCs w:val="22"/>
        </w:rPr>
        <w:t xml:space="preserve">egulation”) and the Regulation </w:t>
      </w:r>
      <w:r w:rsidRPr="005E0210">
        <w:rPr>
          <w:rFonts w:ascii="Verdana" w:hAnsi="Verdana" w:cs="Arial"/>
          <w:bCs/>
          <w:color w:val="000000"/>
          <w:sz w:val="22"/>
          <w:szCs w:val="22"/>
        </w:rPr>
        <w:t xml:space="preserve">(EU) No </w:t>
      </w:r>
      <w:r>
        <w:rPr>
          <w:rFonts w:ascii="Verdana" w:hAnsi="Verdana" w:cs="Arial"/>
          <w:bCs/>
          <w:color w:val="000000"/>
          <w:sz w:val="22"/>
          <w:szCs w:val="22"/>
        </w:rPr>
        <w:t>1299</w:t>
      </w:r>
      <w:r w:rsidRPr="005E0210">
        <w:rPr>
          <w:rFonts w:ascii="Verdana" w:hAnsi="Verdana" w:cs="Arial"/>
          <w:bCs/>
          <w:color w:val="000000"/>
          <w:sz w:val="22"/>
          <w:szCs w:val="22"/>
        </w:rPr>
        <w:t>/2013</w:t>
      </w:r>
      <w:r>
        <w:rPr>
          <w:rFonts w:ascii="Verdana" w:hAnsi="Verdana" w:cs="Arial"/>
          <w:bCs/>
          <w:color w:val="000000"/>
          <w:sz w:val="22"/>
          <w:szCs w:val="22"/>
        </w:rPr>
        <w:t xml:space="preserve"> </w:t>
      </w:r>
      <w:r w:rsidRPr="00A344CC">
        <w:rPr>
          <w:rFonts w:ascii="Verdana" w:hAnsi="Verdana" w:cs="Arial"/>
          <w:bCs/>
          <w:color w:val="000000"/>
          <w:sz w:val="22"/>
          <w:szCs w:val="22"/>
        </w:rPr>
        <w:t xml:space="preserve">of the European Parliament and the Council on specific provisions for the support from the European Regional Development Fund to the European Territorial Cooperation goal (“ETC Regulation”), as well as the </w:t>
      </w:r>
      <w:r>
        <w:rPr>
          <w:rFonts w:ascii="Verdana" w:hAnsi="Verdana" w:cs="Arial"/>
          <w:bCs/>
          <w:color w:val="000000"/>
          <w:sz w:val="22"/>
          <w:szCs w:val="22"/>
        </w:rPr>
        <w:t>URBACT III</w:t>
      </w:r>
      <w:r w:rsidRPr="00A344CC">
        <w:rPr>
          <w:rFonts w:ascii="Verdana" w:hAnsi="Verdana" w:cs="Arial"/>
          <w:bCs/>
          <w:color w:val="000000"/>
          <w:sz w:val="22"/>
          <w:szCs w:val="22"/>
        </w:rPr>
        <w:t xml:space="preserve"> cooperation programme </w:t>
      </w:r>
      <w:r w:rsidRPr="00BA4933">
        <w:rPr>
          <w:rFonts w:ascii="Verdana" w:hAnsi="Verdana" w:cs="Arial"/>
          <w:bCs/>
          <w:color w:val="000000"/>
          <w:sz w:val="22"/>
          <w:szCs w:val="22"/>
        </w:rPr>
        <w:t>reference CCI 2014TC16RFIR003, as validated by the programming committee on [DATE]</w:t>
      </w:r>
      <w:r w:rsidRPr="00A344CC">
        <w:rPr>
          <w:rFonts w:ascii="Verdana" w:hAnsi="Verdana" w:cs="Arial"/>
          <w:bCs/>
          <w:color w:val="000000"/>
          <w:sz w:val="22"/>
          <w:szCs w:val="22"/>
        </w:rPr>
        <w:t xml:space="preserve"> and wi</w:t>
      </w:r>
      <w:r>
        <w:rPr>
          <w:rFonts w:ascii="Verdana" w:hAnsi="Verdana" w:cs="Arial"/>
          <w:bCs/>
          <w:color w:val="000000"/>
          <w:sz w:val="22"/>
          <w:szCs w:val="22"/>
        </w:rPr>
        <w:t>th specific reference to Art 7(9</w:t>
      </w:r>
      <w:r w:rsidRPr="00A344CC">
        <w:rPr>
          <w:rFonts w:ascii="Verdana" w:hAnsi="Verdana" w:cs="Arial"/>
          <w:bCs/>
          <w:color w:val="000000"/>
          <w:sz w:val="22"/>
          <w:szCs w:val="22"/>
        </w:rPr>
        <w:t xml:space="preserve">) [ETC], the </w:t>
      </w:r>
      <w:r>
        <w:rPr>
          <w:rFonts w:ascii="Verdana" w:hAnsi="Verdana" w:cs="Arial"/>
          <w:bCs/>
          <w:color w:val="000000"/>
          <w:sz w:val="22"/>
          <w:szCs w:val="22"/>
        </w:rPr>
        <w:t>Member</w:t>
      </w:r>
      <w:r w:rsidRPr="00A344CC">
        <w:rPr>
          <w:rFonts w:ascii="Verdana" w:hAnsi="Verdana" w:cs="Arial"/>
          <w:bCs/>
          <w:color w:val="000000"/>
          <w:sz w:val="22"/>
          <w:szCs w:val="22"/>
        </w:rPr>
        <w:t xml:space="preserve"> State agrees to the following:</w:t>
      </w:r>
    </w:p>
    <w:p w:rsidR="00403EA5" w:rsidRPr="00A344CC" w:rsidRDefault="00403EA5" w:rsidP="00403EA5">
      <w:pPr>
        <w:pStyle w:val="Default"/>
        <w:spacing w:line="360" w:lineRule="auto"/>
        <w:jc w:val="both"/>
        <w:outlineLvl w:val="0"/>
        <w:rPr>
          <w:rFonts w:ascii="Verdana" w:hAnsi="Verdana" w:cs="Arial"/>
          <w:b/>
          <w:bCs/>
          <w:sz w:val="22"/>
          <w:szCs w:val="22"/>
          <w:lang w:val="en-GB"/>
        </w:rPr>
      </w:pPr>
    </w:p>
    <w:p w:rsidR="00403EA5" w:rsidRPr="00A344CC" w:rsidRDefault="00403EA5" w:rsidP="00403EA5">
      <w:pPr>
        <w:pStyle w:val="Default"/>
        <w:spacing w:line="360" w:lineRule="auto"/>
        <w:jc w:val="both"/>
        <w:outlineLvl w:val="0"/>
        <w:rPr>
          <w:rFonts w:ascii="Verdana" w:hAnsi="Verdana" w:cs="Arial"/>
          <w:b/>
          <w:bCs/>
          <w:sz w:val="22"/>
          <w:szCs w:val="22"/>
          <w:lang w:val="en-GB"/>
        </w:rPr>
      </w:pPr>
      <w:r w:rsidRPr="00A344CC">
        <w:rPr>
          <w:rFonts w:ascii="Verdana" w:hAnsi="Verdana" w:cs="Arial"/>
          <w:b/>
          <w:bCs/>
          <w:sz w:val="22"/>
          <w:szCs w:val="22"/>
          <w:lang w:val="en-GB"/>
        </w:rPr>
        <w:t>Article 1</w:t>
      </w:r>
    </w:p>
    <w:p w:rsidR="00403EA5" w:rsidRPr="00A344CC" w:rsidRDefault="00403EA5" w:rsidP="00403EA5">
      <w:pPr>
        <w:jc w:val="both"/>
        <w:rPr>
          <w:rFonts w:ascii="Verdana" w:hAnsi="Verdana" w:cs="Arial"/>
          <w:bCs/>
          <w:sz w:val="22"/>
          <w:szCs w:val="22"/>
        </w:rPr>
      </w:pPr>
      <w:r w:rsidRPr="00A344CC">
        <w:rPr>
          <w:rFonts w:ascii="Verdana" w:hAnsi="Verdana" w:cs="Arial"/>
          <w:bCs/>
          <w:color w:val="000000"/>
          <w:sz w:val="22"/>
          <w:szCs w:val="22"/>
        </w:rPr>
        <w:t xml:space="preserve">The </w:t>
      </w:r>
      <w:r>
        <w:rPr>
          <w:rFonts w:ascii="Verdana" w:hAnsi="Verdana" w:cs="Arial"/>
          <w:bCs/>
          <w:color w:val="000000"/>
          <w:sz w:val="22"/>
          <w:szCs w:val="22"/>
        </w:rPr>
        <w:t xml:space="preserve">Member </w:t>
      </w:r>
      <w:r w:rsidRPr="00A344CC">
        <w:rPr>
          <w:rFonts w:ascii="Verdana" w:hAnsi="Verdana" w:cs="Arial"/>
          <w:bCs/>
          <w:color w:val="000000"/>
          <w:sz w:val="22"/>
          <w:szCs w:val="22"/>
        </w:rPr>
        <w:t>State</w:t>
      </w:r>
      <w:r>
        <w:rPr>
          <w:rStyle w:val="a5"/>
          <w:rFonts w:ascii="Verdana" w:hAnsi="Verdana" w:cs="Arial"/>
          <w:bCs/>
          <w:color w:val="000000"/>
          <w:sz w:val="22"/>
          <w:szCs w:val="22"/>
        </w:rPr>
        <w:footnoteReference w:id="40"/>
      </w:r>
      <w:r w:rsidRPr="00A344CC">
        <w:rPr>
          <w:rFonts w:ascii="Verdana" w:hAnsi="Verdana" w:cs="Arial"/>
          <w:bCs/>
          <w:color w:val="000000"/>
          <w:sz w:val="22"/>
          <w:szCs w:val="22"/>
        </w:rPr>
        <w:t xml:space="preserve"> confirms its agreement to the content of the </w:t>
      </w:r>
      <w:r>
        <w:rPr>
          <w:rFonts w:ascii="Verdana" w:hAnsi="Verdana" w:cs="Arial"/>
          <w:bCs/>
          <w:color w:val="000000"/>
          <w:sz w:val="22"/>
          <w:szCs w:val="22"/>
        </w:rPr>
        <w:t>operational</w:t>
      </w:r>
      <w:r w:rsidRPr="00A344CC">
        <w:rPr>
          <w:rFonts w:ascii="Verdana" w:hAnsi="Verdana" w:cs="Arial"/>
          <w:bCs/>
          <w:color w:val="000000"/>
          <w:sz w:val="22"/>
          <w:szCs w:val="22"/>
        </w:rPr>
        <w:t xml:space="preserve"> programme of the </w:t>
      </w:r>
      <w:r>
        <w:rPr>
          <w:rFonts w:ascii="Verdana" w:hAnsi="Verdana" w:cs="Arial"/>
          <w:bCs/>
          <w:sz w:val="22"/>
          <w:szCs w:val="22"/>
        </w:rPr>
        <w:t>URBACT III</w:t>
      </w:r>
      <w:r w:rsidRPr="00A344CC">
        <w:rPr>
          <w:rFonts w:ascii="Verdana" w:hAnsi="Verdana" w:cs="Arial"/>
          <w:bCs/>
          <w:sz w:val="22"/>
          <w:szCs w:val="22"/>
        </w:rPr>
        <w:t xml:space="preserve"> programme.</w:t>
      </w:r>
    </w:p>
    <w:p w:rsidR="00403EA5" w:rsidRPr="00A344CC" w:rsidRDefault="00403EA5" w:rsidP="00403EA5">
      <w:pPr>
        <w:jc w:val="both"/>
        <w:rPr>
          <w:rFonts w:ascii="Verdana" w:hAnsi="Verdana" w:cs="Arial"/>
          <w:bCs/>
          <w:sz w:val="22"/>
          <w:szCs w:val="22"/>
        </w:rPr>
      </w:pPr>
    </w:p>
    <w:p w:rsidR="00403EA5" w:rsidRPr="00A344CC" w:rsidRDefault="00403EA5" w:rsidP="00403EA5">
      <w:pPr>
        <w:jc w:val="both"/>
        <w:rPr>
          <w:rFonts w:ascii="Verdana" w:hAnsi="Verdana" w:cs="Arial"/>
          <w:bCs/>
          <w:color w:val="000000"/>
          <w:sz w:val="22"/>
          <w:szCs w:val="22"/>
        </w:rPr>
      </w:pPr>
    </w:p>
    <w:p w:rsidR="00403EA5" w:rsidRPr="00A344CC" w:rsidRDefault="00403EA5" w:rsidP="00403EA5">
      <w:pPr>
        <w:jc w:val="both"/>
        <w:rPr>
          <w:rFonts w:ascii="Verdana" w:hAnsi="Verdana" w:cs="Arial"/>
          <w:b/>
          <w:bCs/>
          <w:color w:val="000000"/>
          <w:sz w:val="22"/>
          <w:szCs w:val="22"/>
        </w:rPr>
      </w:pPr>
      <w:r w:rsidRPr="00A344CC">
        <w:rPr>
          <w:rFonts w:ascii="Verdana" w:hAnsi="Verdana" w:cs="Arial"/>
          <w:b/>
          <w:bCs/>
          <w:color w:val="000000"/>
          <w:sz w:val="22"/>
          <w:szCs w:val="22"/>
        </w:rPr>
        <w:t>Article 2</w:t>
      </w:r>
    </w:p>
    <w:p w:rsidR="00403EA5" w:rsidRPr="00A344CC" w:rsidRDefault="00403EA5" w:rsidP="00403EA5">
      <w:pPr>
        <w:jc w:val="both"/>
        <w:rPr>
          <w:rFonts w:ascii="Verdana" w:hAnsi="Verdana" w:cs="Arial"/>
          <w:bCs/>
          <w:color w:val="000000"/>
          <w:sz w:val="22"/>
          <w:szCs w:val="22"/>
        </w:rPr>
      </w:pPr>
      <w:r w:rsidRPr="00A344CC">
        <w:rPr>
          <w:rFonts w:ascii="Verdana" w:hAnsi="Verdana" w:cs="Arial"/>
          <w:bCs/>
          <w:color w:val="000000"/>
          <w:sz w:val="22"/>
          <w:szCs w:val="22"/>
        </w:rPr>
        <w:t xml:space="preserve">The </w:t>
      </w:r>
      <w:r>
        <w:rPr>
          <w:rFonts w:ascii="Verdana" w:hAnsi="Verdana" w:cs="Arial"/>
          <w:bCs/>
          <w:color w:val="000000"/>
          <w:sz w:val="22"/>
          <w:szCs w:val="22"/>
        </w:rPr>
        <w:t xml:space="preserve">Member </w:t>
      </w:r>
      <w:r w:rsidRPr="00A344CC">
        <w:rPr>
          <w:rFonts w:ascii="Verdana" w:hAnsi="Verdana" w:cs="Arial"/>
          <w:bCs/>
          <w:color w:val="000000"/>
          <w:sz w:val="22"/>
          <w:szCs w:val="22"/>
        </w:rPr>
        <w:t>State commits to provide the co-financing necessary</w:t>
      </w:r>
      <w:r>
        <w:rPr>
          <w:rFonts w:ascii="Verdana" w:hAnsi="Verdana" w:cs="Arial"/>
          <w:bCs/>
          <w:color w:val="000000"/>
          <w:sz w:val="22"/>
          <w:szCs w:val="22"/>
        </w:rPr>
        <w:t xml:space="preserve"> as presented in the operational programme</w:t>
      </w:r>
      <w:r w:rsidRPr="00A344CC">
        <w:rPr>
          <w:rFonts w:ascii="Verdana" w:hAnsi="Verdana" w:cs="Arial"/>
          <w:bCs/>
          <w:color w:val="000000"/>
          <w:sz w:val="22"/>
          <w:szCs w:val="22"/>
        </w:rPr>
        <w:t xml:space="preserve"> to implement the </w:t>
      </w:r>
      <w:r>
        <w:rPr>
          <w:rFonts w:ascii="Verdana" w:hAnsi="Verdana" w:cs="Arial"/>
          <w:bCs/>
          <w:color w:val="000000"/>
          <w:sz w:val="22"/>
          <w:szCs w:val="22"/>
        </w:rPr>
        <w:t>URBACT III</w:t>
      </w:r>
      <w:r w:rsidRPr="00A344CC">
        <w:rPr>
          <w:rFonts w:ascii="Verdana" w:hAnsi="Verdana" w:cs="Arial"/>
          <w:bCs/>
          <w:color w:val="000000"/>
          <w:sz w:val="22"/>
          <w:szCs w:val="22"/>
        </w:rPr>
        <w:t xml:space="preserve"> programme. </w:t>
      </w:r>
    </w:p>
    <w:p w:rsidR="00403EA5" w:rsidRPr="00A344CC" w:rsidRDefault="00403EA5" w:rsidP="00403EA5">
      <w:pPr>
        <w:pStyle w:val="Default"/>
        <w:spacing w:line="360" w:lineRule="auto"/>
        <w:jc w:val="both"/>
        <w:outlineLvl w:val="0"/>
        <w:rPr>
          <w:rFonts w:ascii="Verdana" w:hAnsi="Verdana" w:cs="Arial"/>
          <w:b/>
          <w:bCs/>
          <w:sz w:val="22"/>
          <w:szCs w:val="22"/>
          <w:lang w:val="en-GB"/>
        </w:rPr>
      </w:pPr>
    </w:p>
    <w:p w:rsidR="00403EA5" w:rsidRPr="00A344CC" w:rsidRDefault="00403EA5" w:rsidP="00403EA5">
      <w:pPr>
        <w:rPr>
          <w:rFonts w:ascii="Verdana" w:hAnsi="Verdana" w:cs="Arial"/>
          <w:b/>
          <w:bCs/>
          <w:color w:val="000000"/>
          <w:sz w:val="22"/>
          <w:szCs w:val="22"/>
        </w:rPr>
      </w:pPr>
    </w:p>
    <w:p w:rsidR="00403EA5" w:rsidRPr="00A344CC" w:rsidRDefault="00403EA5" w:rsidP="00403EA5">
      <w:pPr>
        <w:spacing w:line="360" w:lineRule="auto"/>
        <w:jc w:val="both"/>
        <w:outlineLvl w:val="0"/>
        <w:rPr>
          <w:rFonts w:ascii="Verdana" w:hAnsi="Verdana" w:cs="Arial"/>
          <w:b/>
          <w:sz w:val="22"/>
          <w:szCs w:val="22"/>
          <w:lang w:eastAsia="de-DE"/>
        </w:rPr>
      </w:pPr>
      <w:r w:rsidRPr="00A344CC">
        <w:rPr>
          <w:rFonts w:ascii="Verdana" w:hAnsi="Verdana" w:cs="Arial"/>
          <w:b/>
          <w:sz w:val="22"/>
          <w:szCs w:val="22"/>
          <w:lang w:eastAsia="de-DE"/>
        </w:rPr>
        <w:t xml:space="preserve">The </w:t>
      </w:r>
      <w:r>
        <w:rPr>
          <w:rFonts w:ascii="Verdana" w:hAnsi="Verdana" w:cs="Arial"/>
          <w:b/>
          <w:sz w:val="22"/>
          <w:szCs w:val="22"/>
          <w:lang w:eastAsia="de-DE"/>
        </w:rPr>
        <w:t xml:space="preserve">Member </w:t>
      </w:r>
      <w:r w:rsidRPr="00A344CC">
        <w:rPr>
          <w:rFonts w:ascii="Verdana" w:hAnsi="Verdana" w:cs="Arial"/>
          <w:b/>
          <w:sz w:val="22"/>
          <w:szCs w:val="22"/>
          <w:lang w:eastAsia="de-DE"/>
        </w:rPr>
        <w:t xml:space="preserve">State: </w:t>
      </w:r>
    </w:p>
    <w:p w:rsidR="00403EA5" w:rsidRPr="00A344CC" w:rsidRDefault="00403EA5" w:rsidP="00403EA5">
      <w:pPr>
        <w:spacing w:line="360" w:lineRule="auto"/>
        <w:jc w:val="both"/>
        <w:rPr>
          <w:rFonts w:ascii="Verdana" w:hAnsi="Verdana" w:cs="Arial"/>
          <w:i/>
          <w:sz w:val="22"/>
          <w:szCs w:val="22"/>
          <w:lang w:eastAsia="de-DE"/>
        </w:rPr>
      </w:pPr>
    </w:p>
    <w:p w:rsidR="00403EA5" w:rsidRPr="00A344CC" w:rsidRDefault="008749E9" w:rsidP="00403EA5">
      <w:pPr>
        <w:spacing w:line="360" w:lineRule="auto"/>
        <w:jc w:val="both"/>
        <w:rPr>
          <w:rFonts w:ascii="Verdana" w:hAnsi="Verdana" w:cs="Arial"/>
          <w:i/>
          <w:sz w:val="22"/>
          <w:szCs w:val="22"/>
          <w:lang w:eastAsia="de-DE"/>
        </w:rPr>
      </w:pPr>
      <w:r>
        <w:rPr>
          <w:rFonts w:ascii="Verdana" w:hAnsi="Verdana"/>
          <w:i/>
          <w:noProof/>
          <w:sz w:val="22"/>
          <w:szCs w:val="22"/>
          <w:lang w:val="bg-BG" w:eastAsia="bg-BG"/>
        </w:rPr>
        <mc:AlternateContent>
          <mc:Choice Requires="wps">
            <w:drawing>
              <wp:anchor distT="0" distB="0" distL="114300" distR="114300" simplePos="0" relativeHeight="251660288" behindDoc="0" locked="0" layoutInCell="1" allowOverlap="1">
                <wp:simplePos x="0" y="0"/>
                <wp:positionH relativeFrom="column">
                  <wp:posOffset>2471420</wp:posOffset>
                </wp:positionH>
                <wp:positionV relativeFrom="paragraph">
                  <wp:posOffset>147955</wp:posOffset>
                </wp:positionV>
                <wp:extent cx="3017520" cy="0"/>
                <wp:effectExtent l="13970" t="5080" r="6985" b="1397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11.65pt" to="432.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2+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"/>
            </w:pict>
          </mc:Fallback>
        </mc:AlternateContent>
      </w:r>
      <w:r w:rsidR="00403EA5" w:rsidRPr="00A344CC">
        <w:rPr>
          <w:rFonts w:ascii="Verdana" w:hAnsi="Verdana" w:cs="Arial"/>
          <w:i/>
          <w:sz w:val="22"/>
          <w:szCs w:val="22"/>
          <w:lang w:eastAsia="de-DE"/>
        </w:rPr>
        <w:t>Title of the institution:</w:t>
      </w:r>
    </w:p>
    <w:p w:rsidR="00403EA5" w:rsidRPr="00A344CC" w:rsidRDefault="00403EA5" w:rsidP="00403EA5">
      <w:pPr>
        <w:spacing w:line="360" w:lineRule="auto"/>
        <w:jc w:val="both"/>
        <w:rPr>
          <w:rFonts w:ascii="Verdana" w:hAnsi="Verdana" w:cs="Arial"/>
          <w:i/>
          <w:sz w:val="22"/>
          <w:szCs w:val="22"/>
          <w:lang w:eastAsia="de-DE"/>
        </w:rPr>
      </w:pPr>
    </w:p>
    <w:p w:rsidR="00403EA5" w:rsidRPr="00A344CC" w:rsidRDefault="008749E9" w:rsidP="00403EA5">
      <w:pPr>
        <w:spacing w:line="360" w:lineRule="auto"/>
        <w:jc w:val="both"/>
        <w:rPr>
          <w:rFonts w:ascii="Verdana" w:hAnsi="Verdana" w:cs="Arial"/>
          <w:i/>
          <w:sz w:val="22"/>
          <w:szCs w:val="22"/>
          <w:lang w:eastAsia="de-DE"/>
        </w:rPr>
      </w:pPr>
      <w:r>
        <w:rPr>
          <w:rFonts w:ascii="Verdana" w:hAnsi="Verdana"/>
          <w:i/>
          <w:noProof/>
          <w:sz w:val="22"/>
          <w:szCs w:val="22"/>
          <w:lang w:val="bg-BG" w:eastAsia="bg-BG"/>
        </w:rPr>
        <mc:AlternateContent>
          <mc:Choice Requires="wps">
            <w:drawing>
              <wp:anchor distT="0" distB="0" distL="114300" distR="114300" simplePos="0" relativeHeight="251661312" behindDoc="0" locked="0" layoutInCell="1" allowOverlap="1">
                <wp:simplePos x="0" y="0"/>
                <wp:positionH relativeFrom="column">
                  <wp:posOffset>2465705</wp:posOffset>
                </wp:positionH>
                <wp:positionV relativeFrom="paragraph">
                  <wp:posOffset>172085</wp:posOffset>
                </wp:positionV>
                <wp:extent cx="3017520" cy="0"/>
                <wp:effectExtent l="8255" t="10160" r="12700" b="889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15pt,13.55pt" to="431.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24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"/>
            </w:pict>
          </mc:Fallback>
        </mc:AlternateContent>
      </w:r>
      <w:r w:rsidR="00403EA5" w:rsidRPr="00A344CC">
        <w:rPr>
          <w:rFonts w:ascii="Verdana" w:hAnsi="Verdana" w:cs="Arial"/>
          <w:i/>
          <w:sz w:val="22"/>
          <w:szCs w:val="22"/>
          <w:lang w:eastAsia="de-DE"/>
        </w:rPr>
        <w:t xml:space="preserve">Place and date: </w:t>
      </w:r>
    </w:p>
    <w:p w:rsidR="00403EA5" w:rsidRPr="00A344CC" w:rsidRDefault="00403EA5" w:rsidP="00403EA5">
      <w:pPr>
        <w:spacing w:line="360" w:lineRule="auto"/>
        <w:jc w:val="both"/>
        <w:rPr>
          <w:rFonts w:ascii="Verdana" w:hAnsi="Verdana" w:cs="Arial"/>
          <w:i/>
          <w:sz w:val="22"/>
          <w:szCs w:val="22"/>
          <w:lang w:eastAsia="de-DE"/>
        </w:rPr>
      </w:pPr>
    </w:p>
    <w:p w:rsidR="00403EA5" w:rsidRPr="00A344CC" w:rsidRDefault="008749E9" w:rsidP="00403EA5">
      <w:pPr>
        <w:spacing w:line="360" w:lineRule="auto"/>
        <w:jc w:val="both"/>
        <w:rPr>
          <w:rFonts w:ascii="Verdana" w:hAnsi="Verdana" w:cs="Arial"/>
          <w:i/>
          <w:sz w:val="22"/>
          <w:szCs w:val="22"/>
          <w:lang w:eastAsia="de-DE"/>
        </w:rPr>
      </w:pPr>
      <w:r>
        <w:rPr>
          <w:rFonts w:ascii="Verdana" w:hAnsi="Verdana"/>
          <w:i/>
          <w:noProof/>
          <w:sz w:val="22"/>
          <w:szCs w:val="22"/>
          <w:lang w:val="bg-BG" w:eastAsia="bg-BG"/>
        </w:rPr>
        <mc:AlternateContent>
          <mc:Choice Requires="wps">
            <w:drawing>
              <wp:anchor distT="0" distB="0" distL="114300" distR="114300" simplePos="0" relativeHeight="251662336" behindDoc="0" locked="0" layoutInCell="1" allowOverlap="1">
                <wp:simplePos x="0" y="0"/>
                <wp:positionH relativeFrom="column">
                  <wp:posOffset>2465705</wp:posOffset>
                </wp:positionH>
                <wp:positionV relativeFrom="paragraph">
                  <wp:posOffset>123190</wp:posOffset>
                </wp:positionV>
                <wp:extent cx="3017520" cy="0"/>
                <wp:effectExtent l="8255" t="8890" r="12700" b="1016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15pt,9.7pt" to="431.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G4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"/>
            </w:pict>
          </mc:Fallback>
        </mc:AlternateContent>
      </w:r>
      <w:r w:rsidR="00403EA5" w:rsidRPr="00A344CC">
        <w:rPr>
          <w:rFonts w:ascii="Verdana" w:hAnsi="Verdana" w:cs="Arial"/>
          <w:i/>
          <w:sz w:val="22"/>
          <w:szCs w:val="22"/>
          <w:lang w:eastAsia="de-DE"/>
        </w:rPr>
        <w:t xml:space="preserve">Name and function of the signatory: </w:t>
      </w:r>
    </w:p>
    <w:p w:rsidR="00403EA5" w:rsidRPr="00A344CC" w:rsidRDefault="00403EA5" w:rsidP="00403EA5">
      <w:pPr>
        <w:spacing w:line="360" w:lineRule="auto"/>
        <w:jc w:val="both"/>
        <w:rPr>
          <w:rFonts w:ascii="Verdana" w:hAnsi="Verdana" w:cs="Arial"/>
          <w:i/>
          <w:sz w:val="22"/>
          <w:szCs w:val="22"/>
          <w:lang w:eastAsia="de-DE"/>
        </w:rPr>
      </w:pPr>
    </w:p>
    <w:p w:rsidR="00403EA5" w:rsidRPr="00A344CC" w:rsidRDefault="008749E9" w:rsidP="00403EA5">
      <w:pPr>
        <w:spacing w:line="360" w:lineRule="auto"/>
        <w:jc w:val="both"/>
        <w:rPr>
          <w:rFonts w:ascii="Verdana" w:hAnsi="Verdana" w:cs="Arial"/>
          <w:i/>
          <w:sz w:val="22"/>
          <w:szCs w:val="22"/>
          <w:lang w:eastAsia="de-DE"/>
        </w:rPr>
      </w:pPr>
      <w:r>
        <w:rPr>
          <w:rFonts w:ascii="Verdana" w:hAnsi="Verdana"/>
          <w:i/>
          <w:noProof/>
          <w:sz w:val="22"/>
          <w:szCs w:val="22"/>
          <w:lang w:val="bg-BG" w:eastAsia="bg-BG"/>
        </w:rPr>
        <mc:AlternateContent>
          <mc:Choice Requires="wps">
            <w:drawing>
              <wp:anchor distT="0" distB="0" distL="114300" distR="114300" simplePos="0" relativeHeight="251663360" behindDoc="0" locked="0" layoutInCell="1" allowOverlap="1">
                <wp:simplePos x="0" y="0"/>
                <wp:positionH relativeFrom="column">
                  <wp:posOffset>2465705</wp:posOffset>
                </wp:positionH>
                <wp:positionV relativeFrom="paragraph">
                  <wp:posOffset>189230</wp:posOffset>
                </wp:positionV>
                <wp:extent cx="3017520" cy="0"/>
                <wp:effectExtent l="8255" t="8255" r="12700" b="1079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15pt,14.9pt" to="431.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1Uh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"/>
            </w:pict>
          </mc:Fallback>
        </mc:AlternateContent>
      </w:r>
      <w:r w:rsidR="00403EA5" w:rsidRPr="00A344CC">
        <w:rPr>
          <w:rFonts w:ascii="Verdana" w:hAnsi="Verdana" w:cs="Arial"/>
          <w:i/>
          <w:sz w:val="22"/>
          <w:szCs w:val="22"/>
          <w:lang w:eastAsia="de-DE"/>
        </w:rPr>
        <w:t xml:space="preserve">Signature/Stamp: </w:t>
      </w:r>
    </w:p>
    <w:p w:rsidR="00403EA5" w:rsidRPr="00A344CC" w:rsidRDefault="00403EA5" w:rsidP="00403EA5">
      <w:pPr>
        <w:rPr>
          <w:rFonts w:ascii="Verdana" w:hAnsi="Verdana" w:cs="Arial"/>
          <w:i/>
          <w:sz w:val="22"/>
          <w:szCs w:val="22"/>
          <w:lang w:eastAsia="de-DE"/>
        </w:rPr>
      </w:pPr>
      <w:r w:rsidRPr="00A344CC">
        <w:rPr>
          <w:rFonts w:ascii="Verdana" w:hAnsi="Verdana" w:cs="Arial"/>
          <w:i/>
          <w:sz w:val="22"/>
          <w:szCs w:val="22"/>
          <w:lang w:eastAsia="de-DE"/>
        </w:rPr>
        <w:br w:type="page"/>
      </w:r>
    </w:p>
    <w:p w:rsidR="00403EA5" w:rsidRPr="00A344CC" w:rsidRDefault="00403EA5" w:rsidP="00403EA5">
      <w:pPr>
        <w:spacing w:line="360" w:lineRule="auto"/>
        <w:jc w:val="center"/>
        <w:rPr>
          <w:rFonts w:ascii="Verdana" w:hAnsi="Verdana" w:cs="Arial"/>
          <w:b/>
          <w:sz w:val="22"/>
          <w:szCs w:val="22"/>
          <w:lang w:eastAsia="de-DE"/>
        </w:rPr>
      </w:pPr>
      <w:r w:rsidRPr="00A344CC">
        <w:rPr>
          <w:rFonts w:ascii="Verdana" w:hAnsi="Verdana" w:cs="Arial"/>
          <w:b/>
          <w:sz w:val="22"/>
          <w:szCs w:val="22"/>
          <w:lang w:eastAsia="de-DE"/>
        </w:rPr>
        <w:t>Annex 1: Contact details</w:t>
      </w:r>
    </w:p>
    <w:p w:rsidR="00403EA5" w:rsidRPr="00A344CC" w:rsidRDefault="00403EA5" w:rsidP="00403EA5">
      <w:pPr>
        <w:spacing w:line="360" w:lineRule="auto"/>
        <w:jc w:val="both"/>
        <w:rPr>
          <w:rFonts w:ascii="Verdana" w:hAnsi="Verdana" w:cs="Arial"/>
          <w:i/>
          <w:sz w:val="22"/>
          <w:szCs w:val="22"/>
          <w:lang w:eastAsia="de-DE"/>
        </w:rPr>
      </w:pPr>
    </w:p>
    <w:p w:rsidR="00403EA5" w:rsidRPr="00A344CC" w:rsidRDefault="00403EA5" w:rsidP="00403EA5">
      <w:pPr>
        <w:pStyle w:val="afd"/>
        <w:numPr>
          <w:ilvl w:val="0"/>
          <w:numId w:val="14"/>
        </w:numPr>
        <w:rPr>
          <w:rFonts w:ascii="Verdana" w:hAnsi="Verdana" w:cs="Arial"/>
        </w:rPr>
      </w:pPr>
      <w:r w:rsidRPr="00A344CC">
        <w:rPr>
          <w:rFonts w:ascii="Verdana" w:hAnsi="Verdana" w:cs="Arial"/>
        </w:rPr>
        <w:t xml:space="preserve">Name and contact details of the </w:t>
      </w:r>
      <w:r>
        <w:rPr>
          <w:rFonts w:ascii="Verdana" w:hAnsi="Verdana" w:cs="Arial"/>
        </w:rPr>
        <w:t xml:space="preserve">Member </w:t>
      </w:r>
      <w:r w:rsidRPr="00A344CC">
        <w:rPr>
          <w:rFonts w:ascii="Verdana" w:hAnsi="Verdana" w:cs="Arial"/>
        </w:rPr>
        <w:t>State representative:</w:t>
      </w:r>
    </w:p>
    <w:p w:rsidR="00403EA5" w:rsidRPr="00A344CC" w:rsidRDefault="00403EA5" w:rsidP="00403EA5">
      <w:pPr>
        <w:pStyle w:val="afd"/>
        <w:rPr>
          <w:rFonts w:ascii="Verdana" w:hAnsi="Verdana" w:cs="Arial"/>
        </w:rPr>
      </w:pPr>
    </w:p>
    <w:p w:rsidR="00403EA5" w:rsidRPr="00A344CC" w:rsidRDefault="00403EA5" w:rsidP="00403EA5">
      <w:pPr>
        <w:spacing w:line="360" w:lineRule="auto"/>
        <w:jc w:val="both"/>
        <w:rPr>
          <w:rFonts w:ascii="Verdana" w:hAnsi="Verdana" w:cs="Arial"/>
          <w:sz w:val="22"/>
          <w:szCs w:val="22"/>
          <w:lang w:eastAsia="de-DE"/>
        </w:rPr>
      </w:pPr>
      <w:r w:rsidRPr="00A344CC">
        <w:rPr>
          <w:rFonts w:ascii="Verdana" w:hAnsi="Verdana" w:cs="Arial"/>
          <w:sz w:val="22"/>
          <w:szCs w:val="22"/>
          <w:lang w:eastAsia="de-DE"/>
        </w:rPr>
        <w:t>Institution</w:t>
      </w:r>
      <w:r w:rsidRPr="00A344CC">
        <w:rPr>
          <w:rFonts w:ascii="Verdana" w:hAnsi="Verdana" w:cs="Arial"/>
          <w:sz w:val="22"/>
          <w:szCs w:val="22"/>
          <w:lang w:eastAsia="de-DE"/>
        </w:rPr>
        <w:tab/>
      </w:r>
      <w:r w:rsidRPr="00A344CC">
        <w:rPr>
          <w:rFonts w:ascii="Verdana" w:hAnsi="Verdana" w:cs="Arial"/>
          <w:sz w:val="22"/>
          <w:szCs w:val="22"/>
          <w:lang w:eastAsia="de-DE"/>
        </w:rPr>
        <w:tab/>
        <w:t>……………………………………………………………………</w:t>
      </w:r>
    </w:p>
    <w:p w:rsidR="00403EA5" w:rsidRDefault="00403EA5" w:rsidP="00403EA5">
      <w:pPr>
        <w:spacing w:line="360" w:lineRule="auto"/>
        <w:jc w:val="both"/>
        <w:rPr>
          <w:rFonts w:ascii="Verdana" w:hAnsi="Verdana" w:cs="Arial"/>
          <w:sz w:val="22"/>
          <w:szCs w:val="22"/>
          <w:lang w:eastAsia="de-DE"/>
        </w:rPr>
      </w:pPr>
      <w:r w:rsidRPr="00A344CC">
        <w:rPr>
          <w:rFonts w:ascii="Verdana" w:hAnsi="Verdana" w:cs="Arial"/>
          <w:sz w:val="22"/>
          <w:szCs w:val="22"/>
          <w:lang w:eastAsia="de-DE"/>
        </w:rPr>
        <w:t>Address</w:t>
      </w:r>
      <w:r w:rsidRPr="00A344CC">
        <w:rPr>
          <w:rFonts w:ascii="Verdana" w:hAnsi="Verdana" w:cs="Arial"/>
          <w:sz w:val="22"/>
          <w:szCs w:val="22"/>
          <w:lang w:eastAsia="de-DE"/>
        </w:rPr>
        <w:tab/>
      </w:r>
      <w:r w:rsidRPr="00A344CC">
        <w:rPr>
          <w:rFonts w:ascii="Verdana" w:hAnsi="Verdana" w:cs="Arial"/>
          <w:sz w:val="22"/>
          <w:szCs w:val="22"/>
          <w:lang w:eastAsia="de-DE"/>
        </w:rPr>
        <w:tab/>
        <w:t>……………………………………………………………………</w:t>
      </w:r>
    </w:p>
    <w:p w:rsidR="00403EA5" w:rsidRPr="00A344CC" w:rsidRDefault="00403EA5" w:rsidP="00403EA5">
      <w:pPr>
        <w:spacing w:line="360" w:lineRule="auto"/>
        <w:jc w:val="both"/>
        <w:rPr>
          <w:rFonts w:ascii="Verdana" w:hAnsi="Verdana" w:cs="Arial"/>
          <w:sz w:val="22"/>
          <w:szCs w:val="22"/>
          <w:lang w:eastAsia="de-DE"/>
        </w:rPr>
      </w:pPr>
      <w:r>
        <w:rPr>
          <w:rFonts w:ascii="Verdana" w:hAnsi="Verdana" w:cs="Arial"/>
          <w:sz w:val="22"/>
          <w:szCs w:val="22"/>
          <w:lang w:eastAsia="de-DE"/>
        </w:rPr>
        <w:t>Contact person</w:t>
      </w:r>
      <w:r>
        <w:rPr>
          <w:rFonts w:ascii="Verdana" w:hAnsi="Verdana" w:cs="Arial"/>
          <w:sz w:val="22"/>
          <w:szCs w:val="22"/>
          <w:lang w:eastAsia="de-DE"/>
        </w:rPr>
        <w:tab/>
      </w:r>
      <w:r w:rsidRPr="00A344CC">
        <w:rPr>
          <w:rFonts w:ascii="Verdana" w:hAnsi="Verdana" w:cs="Arial"/>
          <w:sz w:val="22"/>
          <w:szCs w:val="22"/>
          <w:lang w:eastAsia="de-DE"/>
        </w:rPr>
        <w:t>……………………………………………………………………</w:t>
      </w:r>
    </w:p>
    <w:p w:rsidR="00403EA5" w:rsidRPr="00A344CC" w:rsidRDefault="00403EA5" w:rsidP="00403EA5">
      <w:pPr>
        <w:spacing w:line="360" w:lineRule="auto"/>
        <w:jc w:val="both"/>
        <w:rPr>
          <w:rFonts w:ascii="Verdana" w:hAnsi="Verdana" w:cs="Arial"/>
          <w:sz w:val="22"/>
          <w:szCs w:val="22"/>
          <w:lang w:eastAsia="de-DE"/>
        </w:rPr>
      </w:pPr>
      <w:r w:rsidRPr="00A344CC">
        <w:rPr>
          <w:rFonts w:ascii="Verdana" w:hAnsi="Verdana" w:cs="Arial"/>
          <w:sz w:val="22"/>
          <w:szCs w:val="22"/>
          <w:lang w:eastAsia="de-DE"/>
        </w:rPr>
        <w:t>Telephone</w:t>
      </w:r>
      <w:r w:rsidRPr="00A344CC">
        <w:rPr>
          <w:rFonts w:ascii="Verdana" w:hAnsi="Verdana" w:cs="Arial"/>
          <w:sz w:val="22"/>
          <w:szCs w:val="22"/>
          <w:lang w:eastAsia="de-DE"/>
        </w:rPr>
        <w:tab/>
      </w:r>
      <w:r w:rsidRPr="00A344CC">
        <w:rPr>
          <w:rFonts w:ascii="Verdana" w:hAnsi="Verdana" w:cs="Arial"/>
          <w:sz w:val="22"/>
          <w:szCs w:val="22"/>
          <w:lang w:eastAsia="de-DE"/>
        </w:rPr>
        <w:tab/>
        <w:t>……………………………………………………………………</w:t>
      </w:r>
    </w:p>
    <w:p w:rsidR="00403EA5" w:rsidRPr="00A344CC" w:rsidRDefault="00403EA5" w:rsidP="00403EA5">
      <w:pPr>
        <w:spacing w:line="360" w:lineRule="auto"/>
        <w:jc w:val="both"/>
        <w:rPr>
          <w:rFonts w:ascii="Verdana" w:hAnsi="Verdana" w:cs="Arial"/>
          <w:sz w:val="22"/>
          <w:szCs w:val="22"/>
          <w:lang w:eastAsia="de-DE"/>
        </w:rPr>
      </w:pPr>
      <w:r w:rsidRPr="00A344CC">
        <w:rPr>
          <w:rFonts w:ascii="Verdana" w:hAnsi="Verdana" w:cs="Arial"/>
          <w:sz w:val="22"/>
          <w:szCs w:val="22"/>
          <w:lang w:eastAsia="de-DE"/>
        </w:rPr>
        <w:t>Email</w:t>
      </w:r>
      <w:r w:rsidRPr="00A344CC">
        <w:rPr>
          <w:rFonts w:ascii="Verdana" w:hAnsi="Verdana" w:cs="Arial"/>
          <w:sz w:val="22"/>
          <w:szCs w:val="22"/>
          <w:lang w:eastAsia="de-DE"/>
        </w:rPr>
        <w:tab/>
      </w:r>
      <w:r w:rsidRPr="00A344CC">
        <w:rPr>
          <w:rFonts w:ascii="Verdana" w:hAnsi="Verdana" w:cs="Arial"/>
          <w:sz w:val="22"/>
          <w:szCs w:val="22"/>
          <w:lang w:eastAsia="de-DE"/>
        </w:rPr>
        <w:tab/>
      </w:r>
      <w:r w:rsidRPr="00A344CC">
        <w:rPr>
          <w:rFonts w:ascii="Verdana" w:hAnsi="Verdana" w:cs="Arial"/>
          <w:sz w:val="22"/>
          <w:szCs w:val="22"/>
          <w:lang w:eastAsia="de-DE"/>
        </w:rPr>
        <w:tab/>
        <w:t>……………………………………………………………………</w:t>
      </w:r>
    </w:p>
    <w:p w:rsidR="00403EA5" w:rsidRPr="00A344CC" w:rsidRDefault="00403EA5" w:rsidP="00403EA5">
      <w:pPr>
        <w:spacing w:line="360" w:lineRule="auto"/>
        <w:jc w:val="both"/>
        <w:rPr>
          <w:rFonts w:ascii="Verdana" w:hAnsi="Verdana" w:cs="Arial"/>
          <w:sz w:val="22"/>
          <w:szCs w:val="22"/>
          <w:lang w:eastAsia="de-DE"/>
        </w:rPr>
      </w:pPr>
    </w:p>
    <w:p w:rsidR="00403EA5" w:rsidRPr="00A344CC" w:rsidRDefault="00403EA5" w:rsidP="00403EA5">
      <w:pPr>
        <w:pStyle w:val="afd"/>
        <w:numPr>
          <w:ilvl w:val="0"/>
          <w:numId w:val="14"/>
        </w:numPr>
        <w:spacing w:after="0" w:line="240" w:lineRule="auto"/>
        <w:jc w:val="both"/>
        <w:rPr>
          <w:rFonts w:ascii="Verdana" w:hAnsi="Verdana" w:cs="Arial"/>
        </w:rPr>
      </w:pPr>
      <w:r w:rsidRPr="00A344CC">
        <w:rPr>
          <w:rFonts w:ascii="Verdana" w:hAnsi="Verdana" w:cs="Arial"/>
        </w:rPr>
        <w:t>Name and contact details of the body responsible for establishing the sy</w:t>
      </w:r>
      <w:r>
        <w:rPr>
          <w:rFonts w:ascii="Verdana" w:hAnsi="Verdana" w:cs="Arial"/>
        </w:rPr>
        <w:t>s</w:t>
      </w:r>
      <w:r w:rsidRPr="00A344CC">
        <w:rPr>
          <w:rFonts w:ascii="Verdana" w:hAnsi="Verdana" w:cs="Arial"/>
        </w:rPr>
        <w:t xml:space="preserve">tem for financial controls in the </w:t>
      </w:r>
      <w:r>
        <w:rPr>
          <w:rFonts w:ascii="Verdana" w:hAnsi="Verdana" w:cs="Arial"/>
        </w:rPr>
        <w:t>Member State according to Article 23</w:t>
      </w:r>
      <w:r w:rsidRPr="00A344CC">
        <w:rPr>
          <w:rFonts w:ascii="Verdana" w:hAnsi="Verdana" w:cs="Arial"/>
        </w:rPr>
        <w:t xml:space="preserve"> (4) of Regulation (EU) </w:t>
      </w:r>
      <w:r>
        <w:rPr>
          <w:rFonts w:ascii="Verdana" w:hAnsi="Verdana" w:cs="Arial"/>
        </w:rPr>
        <w:t>1299</w:t>
      </w:r>
      <w:r w:rsidRPr="00A344CC">
        <w:rPr>
          <w:rFonts w:ascii="Verdana" w:hAnsi="Verdana" w:cs="Arial"/>
        </w:rPr>
        <w:t>/2013 [ETC]:</w:t>
      </w:r>
    </w:p>
    <w:p w:rsidR="00403EA5" w:rsidRPr="00A344CC" w:rsidRDefault="00403EA5" w:rsidP="00403EA5">
      <w:pPr>
        <w:ind w:left="360"/>
        <w:jc w:val="both"/>
        <w:rPr>
          <w:rFonts w:ascii="Verdana" w:hAnsi="Verdana" w:cs="Arial"/>
          <w:sz w:val="22"/>
          <w:szCs w:val="22"/>
        </w:rPr>
      </w:pPr>
    </w:p>
    <w:p w:rsidR="00403EA5" w:rsidRPr="00A344CC" w:rsidRDefault="00403EA5" w:rsidP="00403EA5">
      <w:pPr>
        <w:spacing w:line="360" w:lineRule="auto"/>
        <w:jc w:val="both"/>
        <w:rPr>
          <w:rFonts w:ascii="Verdana" w:hAnsi="Verdana" w:cs="Arial"/>
          <w:sz w:val="22"/>
          <w:szCs w:val="22"/>
          <w:lang w:eastAsia="de-DE"/>
        </w:rPr>
      </w:pPr>
      <w:r w:rsidRPr="00A344CC">
        <w:rPr>
          <w:rFonts w:ascii="Verdana" w:hAnsi="Verdana" w:cs="Arial"/>
          <w:sz w:val="22"/>
          <w:szCs w:val="22"/>
          <w:lang w:eastAsia="de-DE"/>
        </w:rPr>
        <w:t>Institution</w:t>
      </w:r>
      <w:r w:rsidRPr="00A344CC">
        <w:rPr>
          <w:rFonts w:ascii="Verdana" w:hAnsi="Verdana" w:cs="Arial"/>
          <w:sz w:val="22"/>
          <w:szCs w:val="22"/>
          <w:lang w:eastAsia="de-DE"/>
        </w:rPr>
        <w:tab/>
      </w:r>
      <w:r w:rsidRPr="00A344CC">
        <w:rPr>
          <w:rFonts w:ascii="Verdana" w:hAnsi="Verdana" w:cs="Arial"/>
          <w:sz w:val="22"/>
          <w:szCs w:val="22"/>
          <w:lang w:eastAsia="de-DE"/>
        </w:rPr>
        <w:tab/>
        <w:t>……………………………………………………………………</w:t>
      </w:r>
    </w:p>
    <w:p w:rsidR="00403EA5" w:rsidRDefault="00403EA5" w:rsidP="00403EA5">
      <w:pPr>
        <w:spacing w:line="360" w:lineRule="auto"/>
        <w:jc w:val="both"/>
        <w:rPr>
          <w:rFonts w:ascii="Verdana" w:hAnsi="Verdana" w:cs="Arial"/>
          <w:sz w:val="22"/>
          <w:szCs w:val="22"/>
          <w:lang w:eastAsia="de-DE"/>
        </w:rPr>
      </w:pPr>
      <w:r w:rsidRPr="00A344CC">
        <w:rPr>
          <w:rFonts w:ascii="Verdana" w:hAnsi="Verdana" w:cs="Arial"/>
          <w:sz w:val="22"/>
          <w:szCs w:val="22"/>
          <w:lang w:eastAsia="de-DE"/>
        </w:rPr>
        <w:t>Address</w:t>
      </w:r>
      <w:r w:rsidRPr="00A344CC">
        <w:rPr>
          <w:rFonts w:ascii="Verdana" w:hAnsi="Verdana" w:cs="Arial"/>
          <w:sz w:val="22"/>
          <w:szCs w:val="22"/>
          <w:lang w:eastAsia="de-DE"/>
        </w:rPr>
        <w:tab/>
      </w:r>
      <w:r w:rsidRPr="00A344CC">
        <w:rPr>
          <w:rFonts w:ascii="Verdana" w:hAnsi="Verdana" w:cs="Arial"/>
          <w:sz w:val="22"/>
          <w:szCs w:val="22"/>
          <w:lang w:eastAsia="de-DE"/>
        </w:rPr>
        <w:tab/>
        <w:t>……………………………………………………………………</w:t>
      </w:r>
    </w:p>
    <w:p w:rsidR="00403EA5" w:rsidRDefault="00403EA5" w:rsidP="00403EA5">
      <w:pPr>
        <w:spacing w:line="360" w:lineRule="auto"/>
        <w:jc w:val="both"/>
        <w:rPr>
          <w:rFonts w:ascii="Verdana" w:hAnsi="Verdana" w:cs="Arial"/>
          <w:sz w:val="22"/>
          <w:szCs w:val="22"/>
          <w:lang w:eastAsia="de-DE"/>
        </w:rPr>
      </w:pPr>
      <w:r>
        <w:rPr>
          <w:rFonts w:ascii="Verdana" w:hAnsi="Verdana" w:cs="Arial"/>
          <w:sz w:val="22"/>
          <w:szCs w:val="22"/>
          <w:lang w:eastAsia="de-DE"/>
        </w:rPr>
        <w:t>Contact person</w:t>
      </w:r>
      <w:r>
        <w:rPr>
          <w:rFonts w:ascii="Verdana" w:hAnsi="Verdana" w:cs="Arial"/>
          <w:sz w:val="22"/>
          <w:szCs w:val="22"/>
          <w:lang w:eastAsia="de-DE"/>
        </w:rPr>
        <w:tab/>
      </w:r>
      <w:r w:rsidRPr="00A344CC">
        <w:rPr>
          <w:rFonts w:ascii="Verdana" w:hAnsi="Verdana" w:cs="Arial"/>
          <w:sz w:val="22"/>
          <w:szCs w:val="22"/>
          <w:lang w:eastAsia="de-DE"/>
        </w:rPr>
        <w:t>……………………………………………………………………</w:t>
      </w:r>
    </w:p>
    <w:p w:rsidR="00403EA5" w:rsidRPr="00A344CC" w:rsidRDefault="00403EA5" w:rsidP="00403EA5">
      <w:pPr>
        <w:spacing w:line="360" w:lineRule="auto"/>
        <w:jc w:val="both"/>
        <w:rPr>
          <w:rFonts w:ascii="Verdana" w:hAnsi="Verdana" w:cs="Arial"/>
          <w:sz w:val="22"/>
          <w:szCs w:val="22"/>
          <w:lang w:eastAsia="de-DE"/>
        </w:rPr>
      </w:pPr>
      <w:r w:rsidRPr="00A344CC">
        <w:rPr>
          <w:rFonts w:ascii="Verdana" w:hAnsi="Verdana" w:cs="Arial"/>
          <w:sz w:val="22"/>
          <w:szCs w:val="22"/>
          <w:lang w:eastAsia="de-DE"/>
        </w:rPr>
        <w:t>Telep</w:t>
      </w:r>
      <w:r>
        <w:rPr>
          <w:rFonts w:ascii="Verdana" w:hAnsi="Verdana" w:cs="Arial"/>
          <w:sz w:val="22"/>
          <w:szCs w:val="22"/>
          <w:lang w:eastAsia="de-DE"/>
        </w:rPr>
        <w:t>hone</w:t>
      </w:r>
      <w:r>
        <w:rPr>
          <w:rFonts w:ascii="Verdana" w:hAnsi="Verdana" w:cs="Arial"/>
          <w:sz w:val="22"/>
          <w:szCs w:val="22"/>
          <w:lang w:eastAsia="de-DE"/>
        </w:rPr>
        <w:tab/>
      </w:r>
      <w:r>
        <w:rPr>
          <w:rFonts w:ascii="Verdana" w:hAnsi="Verdana" w:cs="Arial"/>
          <w:sz w:val="22"/>
          <w:szCs w:val="22"/>
          <w:lang w:eastAsia="de-DE"/>
        </w:rPr>
        <w:tab/>
        <w:t>……………………………………………………………………</w:t>
      </w:r>
    </w:p>
    <w:p w:rsidR="00403EA5" w:rsidRPr="00A344CC" w:rsidRDefault="00403EA5" w:rsidP="00403EA5">
      <w:pPr>
        <w:spacing w:line="360" w:lineRule="auto"/>
        <w:jc w:val="both"/>
        <w:rPr>
          <w:rFonts w:ascii="Verdana" w:hAnsi="Verdana" w:cs="Arial"/>
          <w:sz w:val="22"/>
          <w:szCs w:val="22"/>
          <w:lang w:eastAsia="de-DE"/>
        </w:rPr>
      </w:pPr>
      <w:r>
        <w:rPr>
          <w:rFonts w:ascii="Verdana" w:hAnsi="Verdana" w:cs="Arial"/>
          <w:sz w:val="22"/>
          <w:szCs w:val="22"/>
          <w:lang w:eastAsia="de-DE"/>
        </w:rPr>
        <w:t>Email</w:t>
      </w:r>
      <w:r w:rsidRPr="00A344CC">
        <w:rPr>
          <w:rFonts w:ascii="Verdana" w:hAnsi="Verdana" w:cs="Arial"/>
          <w:sz w:val="22"/>
          <w:szCs w:val="22"/>
          <w:lang w:eastAsia="de-DE"/>
        </w:rPr>
        <w:tab/>
      </w:r>
      <w:r w:rsidRPr="00A344CC">
        <w:rPr>
          <w:rFonts w:ascii="Verdana" w:hAnsi="Verdana" w:cs="Arial"/>
          <w:sz w:val="22"/>
          <w:szCs w:val="22"/>
          <w:lang w:eastAsia="de-DE"/>
        </w:rPr>
        <w:tab/>
      </w:r>
      <w:r>
        <w:rPr>
          <w:rFonts w:ascii="Verdana" w:hAnsi="Verdana" w:cs="Arial"/>
          <w:sz w:val="22"/>
          <w:szCs w:val="22"/>
          <w:lang w:eastAsia="de-DE"/>
        </w:rPr>
        <w:tab/>
      </w:r>
      <w:r w:rsidRPr="00A344CC">
        <w:rPr>
          <w:rFonts w:ascii="Verdana" w:hAnsi="Verdana" w:cs="Arial"/>
          <w:sz w:val="22"/>
          <w:szCs w:val="22"/>
          <w:lang w:eastAsia="de-DE"/>
        </w:rPr>
        <w:t>……………………………………………………………………</w:t>
      </w:r>
    </w:p>
    <w:p w:rsidR="00403EA5" w:rsidRPr="00A344CC" w:rsidRDefault="00403EA5" w:rsidP="00403EA5">
      <w:pPr>
        <w:outlineLvl w:val="0"/>
        <w:rPr>
          <w:rFonts w:ascii="Verdana" w:hAnsi="Verdana" w:cs="Arial"/>
          <w:i/>
          <w:sz w:val="22"/>
          <w:szCs w:val="22"/>
        </w:rPr>
      </w:pPr>
    </w:p>
    <w:p w:rsidR="00403EA5" w:rsidRPr="00A344CC" w:rsidRDefault="00403EA5" w:rsidP="00403EA5">
      <w:pPr>
        <w:outlineLvl w:val="0"/>
        <w:rPr>
          <w:rFonts w:ascii="Verdana" w:hAnsi="Verdana" w:cs="Arial"/>
          <w:i/>
          <w:sz w:val="22"/>
          <w:szCs w:val="22"/>
        </w:rPr>
      </w:pPr>
      <w:r w:rsidRPr="00A344CC">
        <w:rPr>
          <w:rFonts w:ascii="Verdana" w:hAnsi="Verdana" w:cs="Arial"/>
          <w:i/>
          <w:sz w:val="22"/>
          <w:szCs w:val="22"/>
        </w:rPr>
        <w:t xml:space="preserve">Please specify the control system opted for by selecting one of the tick boxes below: </w:t>
      </w:r>
    </w:p>
    <w:bookmarkStart w:id="78" w:name="Check1"/>
    <w:p w:rsidR="00403EA5" w:rsidRPr="00A344CC" w:rsidRDefault="00403EA5" w:rsidP="00403EA5">
      <w:pPr>
        <w:pStyle w:val="Style1"/>
        <w:spacing w:after="0"/>
        <w:jc w:val="both"/>
        <w:rPr>
          <w:rFonts w:ascii="Verdana" w:hAnsi="Verdana" w:cs="Arial"/>
          <w:sz w:val="22"/>
          <w:szCs w:val="22"/>
        </w:rPr>
      </w:pPr>
      <w:r w:rsidRPr="00A344CC">
        <w:rPr>
          <w:rFonts w:ascii="Verdana" w:hAnsi="Verdana" w:cs="Arial"/>
          <w:sz w:val="22"/>
          <w:szCs w:val="22"/>
        </w:rPr>
        <w:fldChar w:fldCharType="begin">
          <w:ffData>
            <w:name w:val="Check1"/>
            <w:enabled/>
            <w:calcOnExit w:val="0"/>
            <w:checkBox>
              <w:sizeAuto/>
              <w:default w:val="0"/>
            </w:checkBox>
          </w:ffData>
        </w:fldChar>
      </w:r>
      <w:r w:rsidRPr="00A344CC">
        <w:rPr>
          <w:rFonts w:ascii="Verdana" w:hAnsi="Verdana" w:cs="Arial"/>
          <w:sz w:val="22"/>
          <w:szCs w:val="22"/>
        </w:rPr>
        <w:instrText xml:space="preserve"> FORMCHECKBOX </w:instrText>
      </w:r>
      <w:r w:rsidR="00FA25C5">
        <w:rPr>
          <w:rFonts w:ascii="Verdana" w:hAnsi="Verdana" w:cs="Arial"/>
          <w:sz w:val="22"/>
          <w:szCs w:val="22"/>
        </w:rPr>
      </w:r>
      <w:r w:rsidR="00FA25C5">
        <w:rPr>
          <w:rFonts w:ascii="Verdana" w:hAnsi="Verdana" w:cs="Arial"/>
          <w:sz w:val="22"/>
          <w:szCs w:val="22"/>
        </w:rPr>
        <w:fldChar w:fldCharType="separate"/>
      </w:r>
      <w:r w:rsidRPr="00A344CC">
        <w:rPr>
          <w:rFonts w:ascii="Verdana" w:hAnsi="Verdana" w:cs="Arial"/>
          <w:sz w:val="22"/>
          <w:szCs w:val="22"/>
        </w:rPr>
        <w:fldChar w:fldCharType="end"/>
      </w:r>
      <w:bookmarkEnd w:id="78"/>
      <w:r w:rsidRPr="00A344CC">
        <w:rPr>
          <w:rFonts w:ascii="Verdana" w:hAnsi="Verdana" w:cs="Arial"/>
          <w:sz w:val="22"/>
          <w:szCs w:val="22"/>
        </w:rPr>
        <w:t xml:space="preserve"> centralised system, i.e. a central body/central bodies coordinated by one main body is/are appointed to carry out the control </w:t>
      </w:r>
      <w:r>
        <w:rPr>
          <w:rFonts w:ascii="Verdana" w:hAnsi="Verdana" w:cs="Arial"/>
          <w:sz w:val="22"/>
          <w:szCs w:val="22"/>
        </w:rPr>
        <w:t xml:space="preserve">tasks </w:t>
      </w:r>
      <w:r w:rsidRPr="00A344CC">
        <w:rPr>
          <w:rFonts w:ascii="Verdana" w:hAnsi="Verdana" w:cs="Arial"/>
          <w:sz w:val="22"/>
          <w:szCs w:val="22"/>
        </w:rPr>
        <w:t>in accordance with Arti</w:t>
      </w:r>
      <w:r>
        <w:rPr>
          <w:rFonts w:ascii="Verdana" w:hAnsi="Verdana" w:cs="Arial"/>
          <w:sz w:val="22"/>
          <w:szCs w:val="22"/>
        </w:rPr>
        <w:t>cle 23</w:t>
      </w:r>
      <w:r w:rsidRPr="00A344CC">
        <w:rPr>
          <w:rFonts w:ascii="Verdana" w:hAnsi="Verdana" w:cs="Arial"/>
          <w:sz w:val="22"/>
          <w:szCs w:val="22"/>
        </w:rPr>
        <w:t xml:space="preserve"> (4) of Regulation (EU) </w:t>
      </w:r>
      <w:r>
        <w:rPr>
          <w:rFonts w:ascii="Verdana" w:hAnsi="Verdana" w:cs="Arial"/>
          <w:sz w:val="22"/>
          <w:szCs w:val="22"/>
        </w:rPr>
        <w:t>1299</w:t>
      </w:r>
      <w:r w:rsidRPr="00A344CC">
        <w:rPr>
          <w:rFonts w:ascii="Verdana" w:hAnsi="Verdana" w:cs="Arial"/>
          <w:sz w:val="22"/>
          <w:szCs w:val="22"/>
        </w:rPr>
        <w:t>/2013 [ETC]:</w:t>
      </w:r>
    </w:p>
    <w:p w:rsidR="00403EA5" w:rsidRPr="00A344CC" w:rsidRDefault="00403EA5" w:rsidP="00403EA5">
      <w:pPr>
        <w:pStyle w:val="Style1"/>
        <w:spacing w:after="0"/>
        <w:jc w:val="both"/>
        <w:rPr>
          <w:rFonts w:ascii="Verdana" w:hAnsi="Verdana" w:cs="Arial"/>
          <w:sz w:val="22"/>
          <w:szCs w:val="22"/>
        </w:rPr>
      </w:pPr>
    </w:p>
    <w:p w:rsidR="00403EA5" w:rsidRPr="00A344CC" w:rsidRDefault="00403EA5" w:rsidP="00403EA5">
      <w:pPr>
        <w:pStyle w:val="Style1"/>
        <w:spacing w:after="0"/>
        <w:jc w:val="both"/>
        <w:rPr>
          <w:rFonts w:ascii="Verdana" w:hAnsi="Verdana" w:cs="Arial"/>
          <w:sz w:val="22"/>
          <w:szCs w:val="22"/>
        </w:rPr>
      </w:pPr>
      <w:r w:rsidRPr="00A344CC">
        <w:rPr>
          <w:rFonts w:ascii="Verdana" w:hAnsi="Verdana" w:cs="Arial"/>
          <w:sz w:val="22"/>
          <w:szCs w:val="22"/>
        </w:rPr>
        <w:fldChar w:fldCharType="begin">
          <w:ffData>
            <w:name w:val="Check1"/>
            <w:enabled/>
            <w:calcOnExit w:val="0"/>
            <w:checkBox>
              <w:sizeAuto/>
              <w:default w:val="0"/>
            </w:checkBox>
          </w:ffData>
        </w:fldChar>
      </w:r>
      <w:r w:rsidRPr="00A344CC">
        <w:rPr>
          <w:rFonts w:ascii="Verdana" w:hAnsi="Verdana" w:cs="Arial"/>
          <w:sz w:val="22"/>
          <w:szCs w:val="22"/>
        </w:rPr>
        <w:instrText xml:space="preserve"> FORMCHECKBOX </w:instrText>
      </w:r>
      <w:r w:rsidR="00FA25C5">
        <w:rPr>
          <w:rFonts w:ascii="Verdana" w:hAnsi="Verdana" w:cs="Arial"/>
          <w:sz w:val="22"/>
          <w:szCs w:val="22"/>
        </w:rPr>
      </w:r>
      <w:r w:rsidR="00FA25C5">
        <w:rPr>
          <w:rFonts w:ascii="Verdana" w:hAnsi="Verdana" w:cs="Arial"/>
          <w:sz w:val="22"/>
          <w:szCs w:val="22"/>
        </w:rPr>
        <w:fldChar w:fldCharType="separate"/>
      </w:r>
      <w:r w:rsidRPr="00A344CC">
        <w:rPr>
          <w:rFonts w:ascii="Verdana" w:hAnsi="Verdana" w:cs="Arial"/>
          <w:sz w:val="22"/>
          <w:szCs w:val="22"/>
        </w:rPr>
        <w:fldChar w:fldCharType="end"/>
      </w:r>
      <w:r w:rsidRPr="00A344CC">
        <w:rPr>
          <w:rFonts w:ascii="Verdana" w:hAnsi="Verdana" w:cs="Arial"/>
          <w:sz w:val="22"/>
          <w:szCs w:val="22"/>
        </w:rPr>
        <w:t xml:space="preserve"> decentralised system, i.e. an approbation body will designate an independent, qualified controller to carry out the contr</w:t>
      </w:r>
      <w:r>
        <w:rPr>
          <w:rFonts w:ascii="Verdana" w:hAnsi="Verdana" w:cs="Arial"/>
          <w:sz w:val="22"/>
          <w:szCs w:val="22"/>
        </w:rPr>
        <w:t xml:space="preserve">ol tasks in accordance with Article 23 </w:t>
      </w:r>
      <w:r w:rsidRPr="00A344CC">
        <w:rPr>
          <w:rFonts w:ascii="Verdana" w:hAnsi="Verdana" w:cs="Arial"/>
          <w:sz w:val="22"/>
          <w:szCs w:val="22"/>
        </w:rPr>
        <w:t xml:space="preserve">(4) of Regulation (EU) </w:t>
      </w:r>
      <w:r>
        <w:rPr>
          <w:rFonts w:ascii="Verdana" w:hAnsi="Verdana" w:cs="Arial"/>
          <w:sz w:val="22"/>
          <w:szCs w:val="22"/>
        </w:rPr>
        <w:t>1299</w:t>
      </w:r>
      <w:r w:rsidRPr="00A344CC">
        <w:rPr>
          <w:rFonts w:ascii="Verdana" w:hAnsi="Verdana" w:cs="Arial"/>
          <w:sz w:val="22"/>
          <w:szCs w:val="22"/>
        </w:rPr>
        <w:t xml:space="preserve">/2013 [ETC]. The designation is based on a proposal made by the project partner or based on a shortlist established by the approbation body. </w:t>
      </w:r>
    </w:p>
    <w:p w:rsidR="00403EA5" w:rsidRPr="00A344CC" w:rsidRDefault="00403EA5" w:rsidP="00403EA5">
      <w:pPr>
        <w:rPr>
          <w:rFonts w:ascii="Verdana" w:hAnsi="Verdana" w:cs="Arial"/>
          <w:sz w:val="22"/>
          <w:szCs w:val="22"/>
        </w:rPr>
      </w:pPr>
    </w:p>
    <w:p w:rsidR="00403EA5" w:rsidRPr="00A344CC" w:rsidRDefault="00403EA5" w:rsidP="00403EA5">
      <w:pPr>
        <w:pStyle w:val="afd"/>
        <w:numPr>
          <w:ilvl w:val="0"/>
          <w:numId w:val="14"/>
        </w:numPr>
        <w:spacing w:after="0" w:line="240" w:lineRule="auto"/>
        <w:jc w:val="both"/>
        <w:rPr>
          <w:rFonts w:ascii="Verdana" w:hAnsi="Verdana" w:cs="Arial"/>
        </w:rPr>
      </w:pPr>
      <w:r w:rsidRPr="00A344CC">
        <w:rPr>
          <w:rFonts w:ascii="Verdana" w:hAnsi="Verdana" w:cs="Arial"/>
        </w:rPr>
        <w:t xml:space="preserve">Name and contact details of the body representing the </w:t>
      </w:r>
      <w:r>
        <w:rPr>
          <w:rFonts w:ascii="Verdana" w:hAnsi="Verdana" w:cs="Arial"/>
        </w:rPr>
        <w:t xml:space="preserve">Member State </w:t>
      </w:r>
      <w:r w:rsidRPr="00A344CC">
        <w:rPr>
          <w:rFonts w:ascii="Verdana" w:hAnsi="Verdana" w:cs="Arial"/>
        </w:rPr>
        <w:t xml:space="preserve">in the group of </w:t>
      </w:r>
      <w:r>
        <w:rPr>
          <w:rFonts w:ascii="Verdana" w:hAnsi="Verdana" w:cs="Arial"/>
        </w:rPr>
        <w:t>auditors according to Article 25</w:t>
      </w:r>
      <w:r w:rsidRPr="00A344CC">
        <w:rPr>
          <w:rFonts w:ascii="Verdana" w:hAnsi="Verdana" w:cs="Arial"/>
        </w:rPr>
        <w:t xml:space="preserve"> of Regulation (EU) No </w:t>
      </w:r>
      <w:r>
        <w:rPr>
          <w:rFonts w:ascii="Verdana" w:hAnsi="Verdana" w:cs="Arial"/>
        </w:rPr>
        <w:t>1299</w:t>
      </w:r>
      <w:r w:rsidRPr="00A344CC">
        <w:rPr>
          <w:rFonts w:ascii="Verdana" w:hAnsi="Verdana" w:cs="Arial"/>
        </w:rPr>
        <w:t>/2013 [ETC]:</w:t>
      </w:r>
    </w:p>
    <w:p w:rsidR="00403EA5" w:rsidRPr="00A344CC" w:rsidRDefault="00403EA5" w:rsidP="00403EA5">
      <w:pPr>
        <w:jc w:val="both"/>
        <w:rPr>
          <w:rFonts w:ascii="Verdana" w:hAnsi="Verdana" w:cs="Arial"/>
          <w:sz w:val="22"/>
          <w:szCs w:val="22"/>
        </w:rPr>
      </w:pPr>
    </w:p>
    <w:p w:rsidR="00403EA5" w:rsidRPr="00A344CC" w:rsidRDefault="00403EA5" w:rsidP="00403EA5">
      <w:pPr>
        <w:jc w:val="both"/>
        <w:rPr>
          <w:rFonts w:ascii="Verdana" w:hAnsi="Verdana" w:cs="Arial"/>
          <w:sz w:val="22"/>
          <w:szCs w:val="22"/>
        </w:rPr>
      </w:pPr>
    </w:p>
    <w:p w:rsidR="00403EA5" w:rsidRPr="00A344CC" w:rsidRDefault="00403EA5" w:rsidP="00403EA5">
      <w:pPr>
        <w:spacing w:line="360" w:lineRule="auto"/>
        <w:jc w:val="both"/>
        <w:rPr>
          <w:rFonts w:ascii="Verdana" w:hAnsi="Verdana" w:cs="Arial"/>
          <w:sz w:val="22"/>
          <w:szCs w:val="22"/>
          <w:lang w:eastAsia="de-DE"/>
        </w:rPr>
      </w:pPr>
      <w:r w:rsidRPr="00A344CC">
        <w:rPr>
          <w:rFonts w:ascii="Verdana" w:hAnsi="Verdana" w:cs="Arial"/>
          <w:sz w:val="22"/>
          <w:szCs w:val="22"/>
          <w:lang w:eastAsia="de-DE"/>
        </w:rPr>
        <w:t>Institution</w:t>
      </w:r>
      <w:r w:rsidRPr="00A344CC">
        <w:rPr>
          <w:rFonts w:ascii="Verdana" w:hAnsi="Verdana" w:cs="Arial"/>
          <w:sz w:val="22"/>
          <w:szCs w:val="22"/>
          <w:lang w:eastAsia="de-DE"/>
        </w:rPr>
        <w:tab/>
      </w:r>
      <w:r w:rsidRPr="00A344CC">
        <w:rPr>
          <w:rFonts w:ascii="Verdana" w:hAnsi="Verdana" w:cs="Arial"/>
          <w:sz w:val="22"/>
          <w:szCs w:val="22"/>
          <w:lang w:eastAsia="de-DE"/>
        </w:rPr>
        <w:tab/>
        <w:t>……………………………………………………………………</w:t>
      </w:r>
    </w:p>
    <w:p w:rsidR="00403EA5" w:rsidRPr="00A344CC" w:rsidRDefault="00403EA5" w:rsidP="00403EA5">
      <w:pPr>
        <w:spacing w:line="360" w:lineRule="auto"/>
        <w:jc w:val="both"/>
        <w:rPr>
          <w:rFonts w:ascii="Verdana" w:hAnsi="Verdana" w:cs="Arial"/>
          <w:sz w:val="22"/>
          <w:szCs w:val="22"/>
          <w:lang w:eastAsia="de-DE"/>
        </w:rPr>
      </w:pPr>
      <w:r w:rsidRPr="00A344CC">
        <w:rPr>
          <w:rFonts w:ascii="Verdana" w:hAnsi="Verdana" w:cs="Arial"/>
          <w:sz w:val="22"/>
          <w:szCs w:val="22"/>
          <w:lang w:eastAsia="de-DE"/>
        </w:rPr>
        <w:t>Address</w:t>
      </w:r>
      <w:r w:rsidRPr="00A344CC">
        <w:rPr>
          <w:rFonts w:ascii="Verdana" w:hAnsi="Verdana" w:cs="Arial"/>
          <w:sz w:val="22"/>
          <w:szCs w:val="22"/>
          <w:lang w:eastAsia="de-DE"/>
        </w:rPr>
        <w:tab/>
      </w:r>
      <w:r w:rsidRPr="00A344CC">
        <w:rPr>
          <w:rFonts w:ascii="Verdana" w:hAnsi="Verdana" w:cs="Arial"/>
          <w:sz w:val="22"/>
          <w:szCs w:val="22"/>
          <w:lang w:eastAsia="de-DE"/>
        </w:rPr>
        <w:tab/>
        <w:t>……………………………………………………………………</w:t>
      </w:r>
    </w:p>
    <w:p w:rsidR="00403EA5" w:rsidRPr="00A344CC" w:rsidRDefault="00403EA5" w:rsidP="00403EA5">
      <w:pPr>
        <w:spacing w:line="360" w:lineRule="auto"/>
        <w:jc w:val="both"/>
        <w:rPr>
          <w:rFonts w:ascii="Verdana" w:hAnsi="Verdana" w:cs="Arial"/>
          <w:sz w:val="22"/>
          <w:szCs w:val="22"/>
          <w:lang w:eastAsia="de-DE"/>
        </w:rPr>
      </w:pPr>
      <w:r>
        <w:rPr>
          <w:rFonts w:ascii="Verdana" w:hAnsi="Verdana" w:cs="Arial"/>
          <w:sz w:val="22"/>
          <w:szCs w:val="22"/>
          <w:lang w:eastAsia="de-DE"/>
        </w:rPr>
        <w:t>Contact person</w:t>
      </w:r>
      <w:r>
        <w:rPr>
          <w:rFonts w:ascii="Verdana" w:hAnsi="Verdana" w:cs="Arial"/>
          <w:sz w:val="22"/>
          <w:szCs w:val="22"/>
          <w:lang w:eastAsia="de-DE"/>
        </w:rPr>
        <w:tab/>
      </w:r>
      <w:r w:rsidRPr="00A344CC">
        <w:rPr>
          <w:rFonts w:ascii="Verdana" w:hAnsi="Verdana" w:cs="Arial"/>
          <w:sz w:val="22"/>
          <w:szCs w:val="22"/>
          <w:lang w:eastAsia="de-DE"/>
        </w:rPr>
        <w:t>……………………………………………………………………</w:t>
      </w:r>
    </w:p>
    <w:p w:rsidR="00403EA5" w:rsidRPr="00A344CC" w:rsidRDefault="00403EA5" w:rsidP="00403EA5">
      <w:pPr>
        <w:spacing w:line="360" w:lineRule="auto"/>
        <w:jc w:val="both"/>
        <w:rPr>
          <w:rFonts w:ascii="Verdana" w:hAnsi="Verdana" w:cs="Arial"/>
          <w:sz w:val="22"/>
          <w:szCs w:val="22"/>
          <w:lang w:eastAsia="de-DE"/>
        </w:rPr>
      </w:pPr>
      <w:r w:rsidRPr="00A344CC">
        <w:rPr>
          <w:rFonts w:ascii="Verdana" w:hAnsi="Verdana" w:cs="Arial"/>
          <w:sz w:val="22"/>
          <w:szCs w:val="22"/>
          <w:lang w:eastAsia="de-DE"/>
        </w:rPr>
        <w:t>Telephone</w:t>
      </w:r>
      <w:r w:rsidRPr="00A344CC">
        <w:rPr>
          <w:rFonts w:ascii="Verdana" w:hAnsi="Verdana" w:cs="Arial"/>
          <w:sz w:val="22"/>
          <w:szCs w:val="22"/>
          <w:lang w:eastAsia="de-DE"/>
        </w:rPr>
        <w:tab/>
      </w:r>
      <w:r w:rsidRPr="00A344CC">
        <w:rPr>
          <w:rFonts w:ascii="Verdana" w:hAnsi="Verdana" w:cs="Arial"/>
          <w:sz w:val="22"/>
          <w:szCs w:val="22"/>
          <w:lang w:eastAsia="de-DE"/>
        </w:rPr>
        <w:tab/>
        <w:t>……………………………………………………………………</w:t>
      </w:r>
    </w:p>
    <w:p w:rsidR="00403EA5" w:rsidRPr="00A344CC" w:rsidRDefault="00403EA5" w:rsidP="00403EA5">
      <w:pPr>
        <w:spacing w:line="360" w:lineRule="auto"/>
        <w:jc w:val="both"/>
        <w:rPr>
          <w:rFonts w:ascii="Verdana" w:hAnsi="Verdana" w:cs="Arial"/>
          <w:sz w:val="22"/>
          <w:szCs w:val="22"/>
          <w:lang w:eastAsia="de-DE"/>
        </w:rPr>
      </w:pPr>
      <w:r w:rsidRPr="00A344CC">
        <w:rPr>
          <w:rFonts w:ascii="Verdana" w:hAnsi="Verdana" w:cs="Arial"/>
          <w:sz w:val="22"/>
          <w:szCs w:val="22"/>
          <w:lang w:eastAsia="de-DE"/>
        </w:rPr>
        <w:t>Email</w:t>
      </w:r>
      <w:r w:rsidRPr="00A344CC">
        <w:rPr>
          <w:rFonts w:ascii="Verdana" w:hAnsi="Verdana" w:cs="Arial"/>
          <w:sz w:val="22"/>
          <w:szCs w:val="22"/>
          <w:lang w:eastAsia="de-DE"/>
        </w:rPr>
        <w:tab/>
      </w:r>
      <w:r w:rsidRPr="00A344CC">
        <w:rPr>
          <w:rFonts w:ascii="Verdana" w:hAnsi="Verdana" w:cs="Arial"/>
          <w:sz w:val="22"/>
          <w:szCs w:val="22"/>
          <w:lang w:eastAsia="de-DE"/>
        </w:rPr>
        <w:tab/>
      </w:r>
      <w:r w:rsidRPr="00A344CC">
        <w:rPr>
          <w:rFonts w:ascii="Verdana" w:hAnsi="Verdana" w:cs="Arial"/>
          <w:sz w:val="22"/>
          <w:szCs w:val="22"/>
          <w:lang w:eastAsia="de-DE"/>
        </w:rPr>
        <w:tab/>
        <w:t>……………………………………………………………………</w:t>
      </w:r>
    </w:p>
    <w:p w:rsidR="00403EA5" w:rsidRDefault="00403EA5" w:rsidP="00403EA5">
      <w:pPr>
        <w:spacing w:line="360" w:lineRule="auto"/>
        <w:jc w:val="both"/>
        <w:rPr>
          <w:rFonts w:ascii="Verdana" w:hAnsi="Verdana" w:cs="Arial"/>
          <w:i/>
          <w:sz w:val="22"/>
          <w:szCs w:val="22"/>
          <w:lang w:eastAsia="de-DE"/>
        </w:rPr>
      </w:pPr>
    </w:p>
    <w:p w:rsidR="00403EA5" w:rsidRPr="00403EA5" w:rsidRDefault="00403EA5" w:rsidP="00403EA5">
      <w:pPr>
        <w:spacing w:line="360" w:lineRule="auto"/>
        <w:jc w:val="center"/>
        <w:rPr>
          <w:rFonts w:ascii="Verdana" w:hAnsi="Verdana" w:cs="Arial"/>
          <w:b/>
          <w:sz w:val="22"/>
          <w:szCs w:val="22"/>
          <w:lang w:eastAsia="de-DE"/>
        </w:rPr>
      </w:pPr>
      <w:r w:rsidRPr="00403EA5">
        <w:rPr>
          <w:rFonts w:ascii="Verdana" w:hAnsi="Verdana" w:cs="Arial"/>
          <w:b/>
          <w:sz w:val="22"/>
          <w:szCs w:val="22"/>
          <w:lang w:eastAsia="de-DE"/>
        </w:rPr>
        <w:t>Annex 2: National contribution</w:t>
      </w:r>
    </w:p>
    <w:p w:rsidR="00403EA5" w:rsidRPr="00403EA5" w:rsidRDefault="00403EA5" w:rsidP="00403EA5">
      <w:pPr>
        <w:autoSpaceDE w:val="0"/>
        <w:autoSpaceDN w:val="0"/>
        <w:adjustRightInd w:val="0"/>
        <w:rPr>
          <w:sz w:val="22"/>
        </w:rPr>
      </w:pPr>
    </w:p>
    <w:p w:rsidR="00403EA5" w:rsidRDefault="00403EA5" w:rsidP="00403EA5">
      <w:pPr>
        <w:jc w:val="both"/>
        <w:rPr>
          <w:rFonts w:ascii="Verdana" w:hAnsi="Verdana" w:cs="Arial"/>
          <w:sz w:val="22"/>
          <w:szCs w:val="22"/>
          <w:lang w:eastAsia="ko-KR"/>
        </w:rPr>
      </w:pPr>
    </w:p>
    <w:p w:rsidR="00403EA5" w:rsidRPr="005E478B" w:rsidRDefault="00403EA5" w:rsidP="00403EA5">
      <w:pPr>
        <w:jc w:val="both"/>
        <w:rPr>
          <w:rFonts w:ascii="Verdana" w:hAnsi="Verdana" w:cs="Arial"/>
          <w:sz w:val="22"/>
          <w:szCs w:val="22"/>
          <w:lang w:eastAsia="ko-KR"/>
        </w:rPr>
      </w:pPr>
      <w:r w:rsidRPr="005E478B">
        <w:rPr>
          <w:rFonts w:ascii="Verdana" w:hAnsi="Verdana" w:cs="Arial"/>
          <w:sz w:val="22"/>
          <w:szCs w:val="22"/>
          <w:lang w:eastAsia="ko-KR"/>
        </w:rPr>
        <w:t xml:space="preserve">The total national contribution amount to …….. Euros. This contribution shall be paid within the following schedule: </w:t>
      </w:r>
    </w:p>
    <w:p w:rsidR="00403EA5" w:rsidRDefault="00403EA5" w:rsidP="00403EA5"/>
    <w:p w:rsidR="00403EA5" w:rsidRDefault="00403EA5" w:rsidP="00403EA5">
      <w:pPr>
        <w:rPr>
          <w:sz w:val="22"/>
        </w:rPr>
      </w:pPr>
    </w:p>
    <w:p w:rsidR="00403EA5" w:rsidRDefault="00403EA5" w:rsidP="00403EA5">
      <w:pPr>
        <w:rPr>
          <w:sz w:val="22"/>
        </w:rPr>
      </w:pPr>
    </w:p>
    <w:tbl>
      <w:tblPr>
        <w:tblStyle w:val="af6"/>
        <w:tblW w:w="0" w:type="auto"/>
        <w:tblLook w:val="04A0" w:firstRow="1" w:lastRow="0" w:firstColumn="1" w:lastColumn="0" w:noHBand="0" w:noVBand="1"/>
      </w:tblPr>
      <w:tblGrid>
        <w:gridCol w:w="4603"/>
        <w:gridCol w:w="4603"/>
      </w:tblGrid>
      <w:tr w:rsidR="00403EA5" w:rsidTr="009357FD">
        <w:tc>
          <w:tcPr>
            <w:tcW w:w="4603" w:type="dxa"/>
          </w:tcPr>
          <w:p w:rsidR="00403EA5" w:rsidRPr="005E478B" w:rsidRDefault="00403EA5" w:rsidP="009357FD">
            <w:pPr>
              <w:spacing w:line="360" w:lineRule="auto"/>
              <w:jc w:val="center"/>
              <w:rPr>
                <w:rFonts w:ascii="Verdana" w:hAnsi="Verdana" w:cs="Arial"/>
                <w:b/>
                <w:sz w:val="22"/>
                <w:szCs w:val="22"/>
                <w:lang w:eastAsia="de-DE"/>
              </w:rPr>
            </w:pPr>
            <w:r w:rsidRPr="005E478B">
              <w:rPr>
                <w:rFonts w:ascii="Verdana" w:hAnsi="Verdana" w:cs="Arial"/>
                <w:b/>
                <w:sz w:val="22"/>
                <w:szCs w:val="22"/>
                <w:lang w:eastAsia="de-DE"/>
              </w:rPr>
              <w:t>Year</w:t>
            </w:r>
          </w:p>
        </w:tc>
        <w:tc>
          <w:tcPr>
            <w:tcW w:w="4603" w:type="dxa"/>
          </w:tcPr>
          <w:p w:rsidR="00403EA5" w:rsidRPr="005E478B" w:rsidRDefault="00403EA5" w:rsidP="009357FD">
            <w:pPr>
              <w:spacing w:line="360" w:lineRule="auto"/>
              <w:jc w:val="center"/>
              <w:rPr>
                <w:rFonts w:ascii="Verdana" w:hAnsi="Verdana" w:cs="Arial"/>
                <w:b/>
                <w:sz w:val="22"/>
                <w:szCs w:val="22"/>
                <w:lang w:eastAsia="de-DE"/>
              </w:rPr>
            </w:pPr>
            <w:r w:rsidRPr="005E478B">
              <w:rPr>
                <w:rFonts w:ascii="Verdana" w:hAnsi="Verdana" w:cs="Arial"/>
                <w:b/>
                <w:sz w:val="22"/>
                <w:szCs w:val="22"/>
                <w:lang w:eastAsia="de-DE"/>
              </w:rPr>
              <w:t>Amount</w:t>
            </w:r>
            <w:r>
              <w:rPr>
                <w:rFonts w:ascii="Verdana" w:hAnsi="Verdana" w:cs="Arial"/>
                <w:b/>
                <w:sz w:val="22"/>
                <w:szCs w:val="22"/>
                <w:lang w:eastAsia="de-DE"/>
              </w:rPr>
              <w:t xml:space="preserve"> in €</w:t>
            </w:r>
          </w:p>
        </w:tc>
      </w:tr>
      <w:tr w:rsidR="00403EA5" w:rsidTr="009357FD">
        <w:tc>
          <w:tcPr>
            <w:tcW w:w="4603" w:type="dxa"/>
          </w:tcPr>
          <w:p w:rsidR="00403EA5" w:rsidRPr="005E478B" w:rsidRDefault="00403EA5" w:rsidP="009357FD">
            <w:pPr>
              <w:spacing w:line="360" w:lineRule="auto"/>
              <w:jc w:val="center"/>
              <w:rPr>
                <w:rFonts w:ascii="Verdana" w:hAnsi="Verdana" w:cs="Arial"/>
                <w:b/>
                <w:sz w:val="22"/>
                <w:szCs w:val="22"/>
                <w:lang w:eastAsia="de-DE"/>
              </w:rPr>
            </w:pPr>
            <w:r w:rsidRPr="005E478B">
              <w:rPr>
                <w:rFonts w:ascii="Verdana" w:hAnsi="Verdana" w:cs="Arial"/>
                <w:b/>
                <w:sz w:val="22"/>
                <w:szCs w:val="22"/>
                <w:lang w:eastAsia="de-DE"/>
              </w:rPr>
              <w:t>2014</w:t>
            </w:r>
          </w:p>
        </w:tc>
        <w:tc>
          <w:tcPr>
            <w:tcW w:w="4603" w:type="dxa"/>
          </w:tcPr>
          <w:p w:rsidR="00403EA5" w:rsidRPr="005E478B" w:rsidRDefault="00403EA5" w:rsidP="009357FD">
            <w:pPr>
              <w:spacing w:line="360" w:lineRule="auto"/>
              <w:jc w:val="center"/>
              <w:rPr>
                <w:rFonts w:ascii="Verdana" w:hAnsi="Verdana" w:cs="Arial"/>
                <w:b/>
                <w:sz w:val="22"/>
                <w:szCs w:val="22"/>
                <w:lang w:eastAsia="de-DE"/>
              </w:rPr>
            </w:pPr>
          </w:p>
        </w:tc>
      </w:tr>
      <w:tr w:rsidR="00403EA5" w:rsidTr="009357FD">
        <w:tc>
          <w:tcPr>
            <w:tcW w:w="4603" w:type="dxa"/>
          </w:tcPr>
          <w:p w:rsidR="00403EA5" w:rsidRPr="005E478B" w:rsidRDefault="00403EA5" w:rsidP="009357FD">
            <w:pPr>
              <w:spacing w:line="360" w:lineRule="auto"/>
              <w:jc w:val="center"/>
              <w:rPr>
                <w:rFonts w:ascii="Verdana" w:hAnsi="Verdana" w:cs="Arial"/>
                <w:b/>
                <w:sz w:val="22"/>
                <w:szCs w:val="22"/>
                <w:lang w:eastAsia="de-DE"/>
              </w:rPr>
            </w:pPr>
            <w:r w:rsidRPr="005E478B">
              <w:rPr>
                <w:rFonts w:ascii="Verdana" w:hAnsi="Verdana" w:cs="Arial"/>
                <w:b/>
                <w:sz w:val="22"/>
                <w:szCs w:val="22"/>
                <w:lang w:eastAsia="de-DE"/>
              </w:rPr>
              <w:t>2015</w:t>
            </w:r>
          </w:p>
        </w:tc>
        <w:tc>
          <w:tcPr>
            <w:tcW w:w="4603" w:type="dxa"/>
          </w:tcPr>
          <w:p w:rsidR="00403EA5" w:rsidRPr="005E478B" w:rsidRDefault="00403EA5" w:rsidP="009357FD">
            <w:pPr>
              <w:spacing w:line="360" w:lineRule="auto"/>
              <w:jc w:val="center"/>
              <w:rPr>
                <w:rFonts w:ascii="Verdana" w:hAnsi="Verdana" w:cs="Arial"/>
                <w:b/>
                <w:sz w:val="22"/>
                <w:szCs w:val="22"/>
                <w:lang w:eastAsia="de-DE"/>
              </w:rPr>
            </w:pPr>
          </w:p>
        </w:tc>
      </w:tr>
      <w:tr w:rsidR="00403EA5" w:rsidTr="009357FD">
        <w:tc>
          <w:tcPr>
            <w:tcW w:w="4603" w:type="dxa"/>
          </w:tcPr>
          <w:p w:rsidR="00403EA5" w:rsidRPr="005E478B" w:rsidRDefault="00403EA5" w:rsidP="009357FD">
            <w:pPr>
              <w:spacing w:line="360" w:lineRule="auto"/>
              <w:jc w:val="center"/>
              <w:rPr>
                <w:rFonts w:ascii="Verdana" w:hAnsi="Verdana" w:cs="Arial"/>
                <w:b/>
                <w:sz w:val="22"/>
                <w:szCs w:val="22"/>
                <w:lang w:eastAsia="de-DE"/>
              </w:rPr>
            </w:pPr>
            <w:r w:rsidRPr="005E478B">
              <w:rPr>
                <w:rFonts w:ascii="Verdana" w:hAnsi="Verdana" w:cs="Arial"/>
                <w:b/>
                <w:sz w:val="22"/>
                <w:szCs w:val="22"/>
                <w:lang w:eastAsia="de-DE"/>
              </w:rPr>
              <w:t>2016</w:t>
            </w:r>
          </w:p>
        </w:tc>
        <w:tc>
          <w:tcPr>
            <w:tcW w:w="4603" w:type="dxa"/>
          </w:tcPr>
          <w:p w:rsidR="00403EA5" w:rsidRPr="005E478B" w:rsidRDefault="00403EA5" w:rsidP="009357FD">
            <w:pPr>
              <w:spacing w:line="360" w:lineRule="auto"/>
              <w:jc w:val="center"/>
              <w:rPr>
                <w:rFonts w:ascii="Verdana" w:hAnsi="Verdana" w:cs="Arial"/>
                <w:b/>
                <w:sz w:val="22"/>
                <w:szCs w:val="22"/>
                <w:lang w:eastAsia="de-DE"/>
              </w:rPr>
            </w:pPr>
          </w:p>
        </w:tc>
      </w:tr>
      <w:tr w:rsidR="00403EA5" w:rsidTr="009357FD">
        <w:tc>
          <w:tcPr>
            <w:tcW w:w="4603" w:type="dxa"/>
          </w:tcPr>
          <w:p w:rsidR="00403EA5" w:rsidRPr="005E478B" w:rsidRDefault="00403EA5" w:rsidP="009357FD">
            <w:pPr>
              <w:spacing w:line="360" w:lineRule="auto"/>
              <w:jc w:val="center"/>
              <w:rPr>
                <w:rFonts w:ascii="Verdana" w:hAnsi="Verdana" w:cs="Arial"/>
                <w:b/>
                <w:sz w:val="22"/>
                <w:szCs w:val="22"/>
                <w:lang w:eastAsia="de-DE"/>
              </w:rPr>
            </w:pPr>
            <w:r w:rsidRPr="005E478B">
              <w:rPr>
                <w:rFonts w:ascii="Verdana" w:hAnsi="Verdana" w:cs="Arial"/>
                <w:b/>
                <w:sz w:val="22"/>
                <w:szCs w:val="22"/>
                <w:lang w:eastAsia="de-DE"/>
              </w:rPr>
              <w:t>2017</w:t>
            </w:r>
          </w:p>
        </w:tc>
        <w:tc>
          <w:tcPr>
            <w:tcW w:w="4603" w:type="dxa"/>
          </w:tcPr>
          <w:p w:rsidR="00403EA5" w:rsidRPr="005E478B" w:rsidRDefault="00403EA5" w:rsidP="009357FD">
            <w:pPr>
              <w:spacing w:line="360" w:lineRule="auto"/>
              <w:jc w:val="center"/>
              <w:rPr>
                <w:rFonts w:ascii="Verdana" w:hAnsi="Verdana" w:cs="Arial"/>
                <w:b/>
                <w:sz w:val="22"/>
                <w:szCs w:val="22"/>
                <w:lang w:eastAsia="de-DE"/>
              </w:rPr>
            </w:pPr>
          </w:p>
        </w:tc>
      </w:tr>
      <w:tr w:rsidR="00403EA5" w:rsidTr="009357FD">
        <w:tc>
          <w:tcPr>
            <w:tcW w:w="4603" w:type="dxa"/>
          </w:tcPr>
          <w:p w:rsidR="00403EA5" w:rsidRPr="005E478B" w:rsidRDefault="00403EA5" w:rsidP="009357FD">
            <w:pPr>
              <w:spacing w:line="360" w:lineRule="auto"/>
              <w:jc w:val="center"/>
              <w:rPr>
                <w:rFonts w:ascii="Verdana" w:hAnsi="Verdana" w:cs="Arial"/>
                <w:b/>
                <w:sz w:val="22"/>
                <w:szCs w:val="22"/>
                <w:lang w:eastAsia="de-DE"/>
              </w:rPr>
            </w:pPr>
            <w:r w:rsidRPr="005E478B">
              <w:rPr>
                <w:rFonts w:ascii="Verdana" w:hAnsi="Verdana" w:cs="Arial"/>
                <w:b/>
                <w:sz w:val="22"/>
                <w:szCs w:val="22"/>
                <w:lang w:eastAsia="de-DE"/>
              </w:rPr>
              <w:t>2018</w:t>
            </w:r>
          </w:p>
        </w:tc>
        <w:tc>
          <w:tcPr>
            <w:tcW w:w="4603" w:type="dxa"/>
          </w:tcPr>
          <w:p w:rsidR="00403EA5" w:rsidRPr="005E478B" w:rsidRDefault="00403EA5" w:rsidP="009357FD">
            <w:pPr>
              <w:spacing w:line="360" w:lineRule="auto"/>
              <w:jc w:val="center"/>
              <w:rPr>
                <w:rFonts w:ascii="Verdana" w:hAnsi="Verdana" w:cs="Arial"/>
                <w:b/>
                <w:sz w:val="22"/>
                <w:szCs w:val="22"/>
                <w:lang w:eastAsia="de-DE"/>
              </w:rPr>
            </w:pPr>
          </w:p>
        </w:tc>
      </w:tr>
      <w:tr w:rsidR="00403EA5" w:rsidTr="009357FD">
        <w:tc>
          <w:tcPr>
            <w:tcW w:w="4603" w:type="dxa"/>
          </w:tcPr>
          <w:p w:rsidR="00403EA5" w:rsidRPr="005E478B" w:rsidRDefault="00403EA5" w:rsidP="009357FD">
            <w:pPr>
              <w:spacing w:line="360" w:lineRule="auto"/>
              <w:jc w:val="center"/>
              <w:rPr>
                <w:rFonts w:ascii="Verdana" w:hAnsi="Verdana" w:cs="Arial"/>
                <w:b/>
                <w:sz w:val="22"/>
                <w:szCs w:val="22"/>
                <w:lang w:eastAsia="de-DE"/>
              </w:rPr>
            </w:pPr>
            <w:r w:rsidRPr="005E478B">
              <w:rPr>
                <w:rFonts w:ascii="Verdana" w:hAnsi="Verdana" w:cs="Arial"/>
                <w:b/>
                <w:sz w:val="22"/>
                <w:szCs w:val="22"/>
                <w:lang w:eastAsia="de-DE"/>
              </w:rPr>
              <w:t>2019</w:t>
            </w:r>
          </w:p>
        </w:tc>
        <w:tc>
          <w:tcPr>
            <w:tcW w:w="4603" w:type="dxa"/>
          </w:tcPr>
          <w:p w:rsidR="00403EA5" w:rsidRPr="005E478B" w:rsidRDefault="00403EA5" w:rsidP="009357FD">
            <w:pPr>
              <w:spacing w:line="360" w:lineRule="auto"/>
              <w:jc w:val="center"/>
              <w:rPr>
                <w:rFonts w:ascii="Verdana" w:hAnsi="Verdana" w:cs="Arial"/>
                <w:b/>
                <w:sz w:val="22"/>
                <w:szCs w:val="22"/>
                <w:lang w:eastAsia="de-DE"/>
              </w:rPr>
            </w:pPr>
          </w:p>
        </w:tc>
      </w:tr>
      <w:tr w:rsidR="00403EA5" w:rsidTr="009357FD">
        <w:tc>
          <w:tcPr>
            <w:tcW w:w="4603" w:type="dxa"/>
          </w:tcPr>
          <w:p w:rsidR="00403EA5" w:rsidRPr="005E478B" w:rsidRDefault="00403EA5" w:rsidP="009357FD">
            <w:pPr>
              <w:spacing w:line="360" w:lineRule="auto"/>
              <w:jc w:val="center"/>
              <w:rPr>
                <w:rFonts w:ascii="Verdana" w:hAnsi="Verdana" w:cs="Arial"/>
                <w:b/>
                <w:sz w:val="22"/>
                <w:szCs w:val="22"/>
                <w:lang w:eastAsia="de-DE"/>
              </w:rPr>
            </w:pPr>
            <w:r w:rsidRPr="005E478B">
              <w:rPr>
                <w:rFonts w:ascii="Verdana" w:hAnsi="Verdana" w:cs="Arial"/>
                <w:b/>
                <w:sz w:val="22"/>
                <w:szCs w:val="22"/>
                <w:lang w:eastAsia="de-DE"/>
              </w:rPr>
              <w:t>2020</w:t>
            </w:r>
          </w:p>
        </w:tc>
        <w:tc>
          <w:tcPr>
            <w:tcW w:w="4603" w:type="dxa"/>
          </w:tcPr>
          <w:p w:rsidR="00403EA5" w:rsidRPr="005E478B" w:rsidRDefault="00403EA5" w:rsidP="009357FD">
            <w:pPr>
              <w:spacing w:line="360" w:lineRule="auto"/>
              <w:jc w:val="center"/>
              <w:rPr>
                <w:rFonts w:ascii="Verdana" w:hAnsi="Verdana" w:cs="Arial"/>
                <w:b/>
                <w:sz w:val="22"/>
                <w:szCs w:val="22"/>
                <w:lang w:eastAsia="de-DE"/>
              </w:rPr>
            </w:pPr>
          </w:p>
        </w:tc>
      </w:tr>
    </w:tbl>
    <w:p w:rsidR="00403EA5" w:rsidRPr="00A344CC" w:rsidRDefault="00403EA5" w:rsidP="00403EA5">
      <w:pPr>
        <w:spacing w:line="360" w:lineRule="auto"/>
        <w:jc w:val="both"/>
        <w:rPr>
          <w:rFonts w:ascii="Verdana" w:hAnsi="Verdana" w:cs="Arial"/>
          <w:i/>
          <w:sz w:val="22"/>
          <w:szCs w:val="22"/>
          <w:lang w:eastAsia="de-DE"/>
        </w:rPr>
      </w:pPr>
    </w:p>
    <w:p w:rsidR="00A720B1" w:rsidRPr="00A97643" w:rsidRDefault="00A720B1" w:rsidP="00A720B1">
      <w:pPr>
        <w:spacing w:line="360" w:lineRule="auto"/>
        <w:jc w:val="both"/>
      </w:pPr>
    </w:p>
    <w:p w:rsidR="00BE3022" w:rsidRDefault="00BE3022">
      <w:pPr>
        <w:rPr>
          <w:rFonts w:ascii="Verdana" w:eastAsia="Calibri" w:hAnsi="Verdana"/>
          <w:b/>
          <w:bCs/>
          <w:lang w:eastAsia="de-DE"/>
        </w:rPr>
      </w:pPr>
      <w:bookmarkStart w:id="79" w:name="_Toc384648484"/>
      <w:r>
        <w:rPr>
          <w:lang w:eastAsia="de-DE"/>
        </w:rPr>
        <w:br w:type="page"/>
      </w:r>
    </w:p>
    <w:p w:rsidR="00A720B1" w:rsidRPr="004F5F2B" w:rsidRDefault="00A720B1" w:rsidP="00C27FE9">
      <w:pPr>
        <w:pStyle w:val="2"/>
        <w:rPr>
          <w:lang w:eastAsia="de-DE"/>
        </w:rPr>
      </w:pPr>
      <w:r w:rsidRPr="004F5F2B">
        <w:rPr>
          <w:lang w:eastAsia="de-DE"/>
        </w:rPr>
        <w:t>ANNEXE 3 Map of the Programme Area</w:t>
      </w:r>
      <w:bookmarkEnd w:id="79"/>
    </w:p>
    <w:p w:rsidR="003C74C8" w:rsidRDefault="003C74C8" w:rsidP="00A720B1">
      <w:pPr>
        <w:spacing w:line="360" w:lineRule="auto"/>
        <w:jc w:val="both"/>
        <w:rPr>
          <w:rFonts w:ascii="Verdana" w:hAnsi="Verdana" w:cs="Arial"/>
          <w:sz w:val="22"/>
          <w:szCs w:val="22"/>
          <w:lang w:eastAsia="de-DE"/>
        </w:rPr>
      </w:pPr>
    </w:p>
    <w:p w:rsidR="00A720B1" w:rsidRPr="00D136EA" w:rsidRDefault="00A720B1" w:rsidP="00A720B1">
      <w:pPr>
        <w:spacing w:line="360" w:lineRule="auto"/>
        <w:jc w:val="both"/>
        <w:rPr>
          <w:rFonts w:ascii="Verdana" w:hAnsi="Verdana" w:cs="Arial"/>
          <w:sz w:val="22"/>
          <w:szCs w:val="22"/>
          <w:lang w:eastAsia="de-DE"/>
        </w:rPr>
      </w:pPr>
      <w:r w:rsidRPr="00D136EA">
        <w:rPr>
          <w:rFonts w:ascii="Verdana" w:hAnsi="Verdana" w:cs="Arial"/>
          <w:sz w:val="22"/>
          <w:szCs w:val="22"/>
          <w:lang w:eastAsia="de-DE"/>
        </w:rPr>
        <w:t>(</w:t>
      </w:r>
      <w:r w:rsidR="0029014E" w:rsidRPr="00D136EA">
        <w:rPr>
          <w:rFonts w:ascii="Verdana" w:hAnsi="Verdana" w:cs="Arial"/>
          <w:sz w:val="22"/>
          <w:szCs w:val="22"/>
          <w:lang w:eastAsia="de-DE"/>
        </w:rPr>
        <w:t xml:space="preserve">The map </w:t>
      </w:r>
      <w:r w:rsidRPr="00D136EA">
        <w:rPr>
          <w:rFonts w:ascii="Verdana" w:hAnsi="Verdana" w:cs="Arial"/>
          <w:sz w:val="22"/>
          <w:szCs w:val="22"/>
          <w:lang w:eastAsia="de-DE"/>
        </w:rPr>
        <w:t xml:space="preserve">will be included </w:t>
      </w:r>
      <w:r w:rsidR="0029014E" w:rsidRPr="00D136EA">
        <w:rPr>
          <w:rFonts w:ascii="Verdana" w:hAnsi="Verdana" w:cs="Arial"/>
          <w:sz w:val="22"/>
          <w:szCs w:val="22"/>
          <w:lang w:eastAsia="de-DE"/>
        </w:rPr>
        <w:t>in the final programme documentation</w:t>
      </w:r>
      <w:r w:rsidRPr="00D136EA">
        <w:rPr>
          <w:rFonts w:ascii="Verdana" w:hAnsi="Verdana" w:cs="Arial"/>
          <w:sz w:val="22"/>
          <w:szCs w:val="22"/>
          <w:lang w:eastAsia="de-DE"/>
        </w:rPr>
        <w:t>)</w:t>
      </w:r>
    </w:p>
    <w:p w:rsidR="00A720B1" w:rsidRPr="004F5F2B" w:rsidRDefault="00A720B1" w:rsidP="00A720B1">
      <w:pPr>
        <w:spacing w:line="360" w:lineRule="auto"/>
        <w:jc w:val="both"/>
        <w:rPr>
          <w:rFonts w:ascii="Verdana" w:hAnsi="Verdana" w:cs="Arial"/>
          <w:lang w:eastAsia="de-DE"/>
        </w:rPr>
      </w:pPr>
    </w:p>
    <w:p w:rsidR="00A720B1" w:rsidRPr="004F5F2B" w:rsidRDefault="00A720B1" w:rsidP="00A720B1">
      <w:pPr>
        <w:spacing w:line="360" w:lineRule="auto"/>
        <w:jc w:val="both"/>
        <w:rPr>
          <w:rFonts w:ascii="Verdana" w:hAnsi="Verdana" w:cs="Arial"/>
          <w:lang w:eastAsia="de-DE"/>
        </w:rPr>
      </w:pPr>
    </w:p>
    <w:p w:rsidR="00A720B1" w:rsidRPr="004F5F2B" w:rsidRDefault="00A720B1">
      <w:pPr>
        <w:spacing w:after="200" w:line="276" w:lineRule="auto"/>
        <w:rPr>
          <w:rFonts w:ascii="Verdana" w:hAnsi="Verdana" w:cs="Arial"/>
          <w:lang w:eastAsia="de-DE"/>
        </w:rPr>
      </w:pPr>
      <w:r w:rsidRPr="004F5F2B">
        <w:rPr>
          <w:rFonts w:ascii="Verdana" w:hAnsi="Verdana" w:cs="Arial"/>
          <w:lang w:eastAsia="de-DE"/>
        </w:rPr>
        <w:br w:type="page"/>
      </w:r>
    </w:p>
    <w:p w:rsidR="00A720B1" w:rsidRPr="00A97643" w:rsidRDefault="00A720B1" w:rsidP="004C4BB9">
      <w:pPr>
        <w:pStyle w:val="2"/>
        <w:spacing w:after="180" w:line="276" w:lineRule="auto"/>
      </w:pPr>
      <w:bookmarkStart w:id="80" w:name="_Toc384648485"/>
      <w:r w:rsidRPr="00A97643">
        <w:t>ANNEXE 4 Strategic Environmental Assessment</w:t>
      </w:r>
      <w:bookmarkEnd w:id="80"/>
    </w:p>
    <w:p w:rsidR="004C4BB9" w:rsidRPr="00A97643" w:rsidRDefault="004C4BB9" w:rsidP="004C4BB9"/>
    <w:p w:rsidR="00A720B1" w:rsidRPr="00A97643" w:rsidRDefault="00A720B1" w:rsidP="00D67ECF">
      <w:pPr>
        <w:numPr>
          <w:ilvl w:val="0"/>
          <w:numId w:val="15"/>
        </w:numPr>
        <w:spacing w:after="180" w:line="276" w:lineRule="auto"/>
        <w:ind w:left="0"/>
        <w:jc w:val="both"/>
      </w:pPr>
      <w:r w:rsidRPr="00A97643">
        <w:t>Introduction</w:t>
      </w:r>
    </w:p>
    <w:p w:rsidR="00A720B1" w:rsidRPr="00A97643" w:rsidRDefault="00A720B1" w:rsidP="00D67ECF">
      <w:pPr>
        <w:tabs>
          <w:tab w:val="num" w:pos="360"/>
        </w:tabs>
        <w:spacing w:after="180" w:line="276" w:lineRule="auto"/>
        <w:jc w:val="both"/>
      </w:pPr>
      <w:r w:rsidRPr="00A97643">
        <w:t>This exercise is carried out in accordance with the criteria defined by Art 3 (5) of the Strategic Environmental Assessment (SEA) Directive 2001/42/EC and its Annex II. Its objective is to determine if the URBACT III Draft Operational programme requires a strategic environmental assessment.</w:t>
      </w:r>
    </w:p>
    <w:p w:rsidR="00A720B1" w:rsidRPr="00A97643" w:rsidRDefault="00A720B1" w:rsidP="00D67ECF">
      <w:pPr>
        <w:tabs>
          <w:tab w:val="num" w:pos="360"/>
        </w:tabs>
        <w:spacing w:after="180" w:line="276" w:lineRule="auto"/>
        <w:jc w:val="both"/>
      </w:pPr>
    </w:p>
    <w:p w:rsidR="00A720B1" w:rsidRPr="00A97643" w:rsidRDefault="00A720B1" w:rsidP="00D67ECF">
      <w:pPr>
        <w:numPr>
          <w:ilvl w:val="0"/>
          <w:numId w:val="15"/>
        </w:numPr>
        <w:spacing w:after="180" w:line="276" w:lineRule="auto"/>
        <w:ind w:left="0"/>
        <w:jc w:val="both"/>
      </w:pPr>
      <w:r w:rsidRPr="00A97643">
        <w:t>Reference Points</w:t>
      </w:r>
    </w:p>
    <w:p w:rsidR="00A720B1" w:rsidRPr="00A97643" w:rsidRDefault="00A720B1" w:rsidP="00D67ECF">
      <w:pPr>
        <w:numPr>
          <w:ilvl w:val="1"/>
          <w:numId w:val="15"/>
        </w:numPr>
        <w:spacing w:after="180" w:line="276" w:lineRule="auto"/>
        <w:ind w:left="0"/>
        <w:jc w:val="both"/>
      </w:pPr>
      <w:r w:rsidRPr="00A97643">
        <w:t>Legal basis, core mission and objective</w:t>
      </w:r>
    </w:p>
    <w:p w:rsidR="00A720B1" w:rsidRPr="00A97643" w:rsidRDefault="00A720B1" w:rsidP="00D67ECF">
      <w:pPr>
        <w:tabs>
          <w:tab w:val="num" w:pos="360"/>
        </w:tabs>
        <w:spacing w:after="180" w:line="276" w:lineRule="auto"/>
        <w:jc w:val="both"/>
      </w:pPr>
      <w:r w:rsidRPr="00A97643">
        <w:t>The regulatory framework for URBACT III is provided by the regulations for Cohesion policy</w:t>
      </w:r>
      <w:r w:rsidRPr="00A97643">
        <w:footnoteReference w:id="41"/>
      </w:r>
      <w:r w:rsidRPr="00A97643">
        <w:t>. The regulations</w:t>
      </w:r>
      <w:r w:rsidRPr="00A97643">
        <w:footnoteReference w:id="42"/>
      </w:r>
      <w:r w:rsidRPr="00A97643">
        <w:t xml:space="preserve"> which governs URBACT III is EU 1299/2013 which states in Article 2 (3) b that "ERDF supports interregional cooperation to strengthen the effectiveness of cohesion policy in promoting the exchange of experience concerning the identification, transfer and dissemination of good practices on sustainable urban development, including urban-rural linkages."</w:t>
      </w:r>
    </w:p>
    <w:p w:rsidR="00A720B1" w:rsidRPr="00A97643" w:rsidRDefault="00A720B1" w:rsidP="00D67ECF">
      <w:pPr>
        <w:pStyle w:val="afb"/>
        <w:autoSpaceDE w:val="0"/>
        <w:autoSpaceDN w:val="0"/>
        <w:adjustRightInd w:val="0"/>
        <w:spacing w:after="180" w:line="276" w:lineRule="auto"/>
        <w:ind w:left="0"/>
        <w:jc w:val="both"/>
      </w:pPr>
      <w:r w:rsidRPr="00A97643">
        <w:t>Target groups of URBACT III are the city policy makers and practitioners, regional and national authorities in charge of urban issues.</w:t>
      </w:r>
    </w:p>
    <w:p w:rsidR="00A720B1" w:rsidRPr="00A97643" w:rsidRDefault="00A720B1" w:rsidP="00D67ECF">
      <w:pPr>
        <w:pStyle w:val="afb"/>
        <w:autoSpaceDE w:val="0"/>
        <w:autoSpaceDN w:val="0"/>
        <w:adjustRightInd w:val="0"/>
        <w:spacing w:after="180" w:line="276" w:lineRule="auto"/>
        <w:ind w:left="0"/>
        <w:jc w:val="both"/>
      </w:pPr>
      <w:r w:rsidRPr="00A97643">
        <w:t xml:space="preserve">A specific investment priority has been created for URBACT under thematic objective 11 ‘Enhancing institutional capacity and efficient public administration’ as outlined in Regulation EU 1299/2013 (ETC) Article 7 (1) (c) (ii): </w:t>
      </w:r>
    </w:p>
    <w:p w:rsidR="00A720B1" w:rsidRPr="00A97643" w:rsidRDefault="00A720B1" w:rsidP="00D67ECF">
      <w:pPr>
        <w:pStyle w:val="afb"/>
        <w:autoSpaceDE w:val="0"/>
        <w:autoSpaceDN w:val="0"/>
        <w:adjustRightInd w:val="0"/>
        <w:spacing w:after="180" w:line="276" w:lineRule="auto"/>
        <w:ind w:left="0"/>
      </w:pPr>
      <w:r w:rsidRPr="00A97643">
        <w:t>‘Disseminating good practice and expertise and capitalising on the results of the exchange of experience in relation to sustainable urban development, including urban-rural linkages’</w:t>
      </w:r>
    </w:p>
    <w:p w:rsidR="00A720B1" w:rsidRPr="00A97643" w:rsidRDefault="00A720B1" w:rsidP="00D67ECF">
      <w:pPr>
        <w:tabs>
          <w:tab w:val="num" w:pos="360"/>
        </w:tabs>
        <w:spacing w:after="180" w:line="276" w:lineRule="auto"/>
        <w:jc w:val="both"/>
      </w:pPr>
    </w:p>
    <w:p w:rsidR="00A720B1" w:rsidRPr="00A97643" w:rsidRDefault="00A720B1" w:rsidP="00D67ECF">
      <w:pPr>
        <w:numPr>
          <w:ilvl w:val="1"/>
          <w:numId w:val="15"/>
        </w:numPr>
        <w:spacing w:after="180" w:line="276" w:lineRule="auto"/>
        <w:ind w:left="0"/>
        <w:jc w:val="both"/>
      </w:pPr>
      <w:r w:rsidRPr="00A97643">
        <w:t>Aspects of examination in relation to the SEA Directive</w:t>
      </w:r>
    </w:p>
    <w:p w:rsidR="00A720B1" w:rsidRPr="00A97643" w:rsidRDefault="00A720B1" w:rsidP="00D67ECF">
      <w:pPr>
        <w:pStyle w:val="afb"/>
        <w:autoSpaceDE w:val="0"/>
        <w:autoSpaceDN w:val="0"/>
        <w:adjustRightInd w:val="0"/>
        <w:spacing w:after="180" w:line="276" w:lineRule="auto"/>
        <w:ind w:left="0"/>
        <w:jc w:val="both"/>
      </w:pPr>
      <w:r w:rsidRPr="00A97643">
        <w:t>According to Directive 2001/42/EC certain programmes and plans that are likely to have significant environmental effects shall be subject of an environmental assessment. Article 3 provides for the scope of the SEA Directive, defining the type of plans and programmes that require such an environmental assessment.</w:t>
      </w:r>
    </w:p>
    <w:p w:rsidR="00A720B1" w:rsidRPr="00A97643" w:rsidRDefault="00A720B1" w:rsidP="00D67ECF">
      <w:pPr>
        <w:pStyle w:val="afb"/>
        <w:autoSpaceDE w:val="0"/>
        <w:autoSpaceDN w:val="0"/>
        <w:adjustRightInd w:val="0"/>
        <w:spacing w:after="180" w:line="276" w:lineRule="auto"/>
        <w:ind w:left="0"/>
      </w:pPr>
      <w:r w:rsidRPr="00A97643">
        <w:t xml:space="preserve">Article 3 (2) provides a list of specific plans and programmes for which an SEA is obligatory, with the exception of cases in which Articles 3 (3), 3 (8), or 3 (9) are applicable. </w:t>
      </w:r>
    </w:p>
    <w:p w:rsidR="00A720B1" w:rsidRPr="00A97643" w:rsidRDefault="00A720B1" w:rsidP="00D67ECF">
      <w:pPr>
        <w:pStyle w:val="afb"/>
        <w:autoSpaceDE w:val="0"/>
        <w:autoSpaceDN w:val="0"/>
        <w:adjustRightInd w:val="0"/>
        <w:spacing w:after="180" w:line="276" w:lineRule="auto"/>
        <w:ind w:left="0"/>
        <w:jc w:val="both"/>
      </w:pPr>
      <w:r w:rsidRPr="00A97643">
        <w:t xml:space="preserve">For programmes setting the framework for development consent of projects other than those referred in Article 3(2) of the SEA Directive, the competent authority of the MS where the Managing Authority of the programme is set up has to determine through a screening if they are likely to have significant environmental effects and if a full SEA is necessary or not. To perform the screening, the criteria laid down in Annex II of the Directive have to be taken into account. </w:t>
      </w:r>
    </w:p>
    <w:p w:rsidR="00A720B1" w:rsidRPr="00A97643" w:rsidRDefault="00A720B1" w:rsidP="00D67ECF">
      <w:pPr>
        <w:pStyle w:val="afb"/>
        <w:autoSpaceDE w:val="0"/>
        <w:autoSpaceDN w:val="0"/>
        <w:adjustRightInd w:val="0"/>
        <w:spacing w:after="180" w:line="276" w:lineRule="auto"/>
        <w:ind w:left="0"/>
        <w:jc w:val="both"/>
      </w:pPr>
      <w:r w:rsidRPr="00A97643">
        <w:t>If the conclusion of the screening is that the programme is not likely to have significant environmental effects and that no SEA is needed, this decision, including the reasons for not requiring an environmental assessment, should be made available to the public, according to Article 3(7) of the SEA Directive and the national legislation transposing this Directive.</w:t>
      </w:r>
    </w:p>
    <w:p w:rsidR="00A720B1" w:rsidRPr="00A97643" w:rsidRDefault="00A720B1" w:rsidP="00D67ECF">
      <w:pPr>
        <w:pStyle w:val="afb"/>
        <w:autoSpaceDE w:val="0"/>
        <w:autoSpaceDN w:val="0"/>
        <w:adjustRightInd w:val="0"/>
        <w:spacing w:after="180" w:line="276" w:lineRule="auto"/>
        <w:ind w:left="0"/>
        <w:jc w:val="both"/>
      </w:pPr>
      <w:r w:rsidRPr="00A97643">
        <w:t>The screening-out decision, as well as elements demonstrating that it has been made available to the public, should be transmitted to the Commission.</w:t>
      </w:r>
    </w:p>
    <w:p w:rsidR="00A720B1" w:rsidRPr="00A97643" w:rsidRDefault="00A720B1" w:rsidP="00D67ECF">
      <w:pPr>
        <w:tabs>
          <w:tab w:val="num" w:pos="360"/>
        </w:tabs>
        <w:spacing w:after="180" w:line="276" w:lineRule="auto"/>
        <w:jc w:val="both"/>
      </w:pPr>
    </w:p>
    <w:p w:rsidR="00A720B1" w:rsidRPr="00A97643" w:rsidRDefault="00A720B1" w:rsidP="00D67ECF">
      <w:pPr>
        <w:numPr>
          <w:ilvl w:val="0"/>
          <w:numId w:val="15"/>
        </w:numPr>
        <w:spacing w:after="180" w:line="276" w:lineRule="auto"/>
        <w:ind w:left="0"/>
        <w:jc w:val="both"/>
      </w:pPr>
      <w:r w:rsidRPr="00A97643">
        <w:t>Examination of the likely significant environmental effects of URBACT III in accordance with Article 3 (5) Directive 2001/42/EC</w:t>
      </w:r>
    </w:p>
    <w:p w:rsidR="00A720B1" w:rsidRPr="00A97643" w:rsidRDefault="00A720B1" w:rsidP="00D67ECF">
      <w:pPr>
        <w:tabs>
          <w:tab w:val="num" w:pos="360"/>
        </w:tabs>
        <w:spacing w:after="180" w:line="276" w:lineRule="auto"/>
        <w:jc w:val="both"/>
      </w:pPr>
    </w:p>
    <w:p w:rsidR="00A720B1" w:rsidRPr="00A97643" w:rsidRDefault="00A720B1" w:rsidP="00D67ECF">
      <w:pPr>
        <w:numPr>
          <w:ilvl w:val="1"/>
          <w:numId w:val="15"/>
        </w:numPr>
        <w:spacing w:after="180" w:line="276" w:lineRule="auto"/>
        <w:ind w:left="0"/>
        <w:jc w:val="both"/>
      </w:pPr>
      <w:r w:rsidRPr="00A97643">
        <w:t>Does URBACT III represent a plan or programme as per definition of Article 2 of Directive 2001/42/</w:t>
      </w:r>
      <w:r w:rsidR="0029014E" w:rsidRPr="00A97643">
        <w:t>EC?</w:t>
      </w:r>
    </w:p>
    <w:p w:rsidR="00A720B1" w:rsidRPr="00A97643" w:rsidRDefault="00A720B1" w:rsidP="00D67ECF">
      <w:pPr>
        <w:tabs>
          <w:tab w:val="num" w:pos="360"/>
        </w:tabs>
        <w:spacing w:after="180" w:line="276" w:lineRule="auto"/>
        <w:jc w:val="both"/>
      </w:pPr>
      <w:r w:rsidRPr="00A97643">
        <w:t>Questions:</w:t>
      </w:r>
    </w:p>
    <w:p w:rsidR="00A720B1" w:rsidRPr="00A97643" w:rsidRDefault="00A720B1" w:rsidP="00D67ECF">
      <w:pPr>
        <w:tabs>
          <w:tab w:val="num" w:pos="360"/>
        </w:tabs>
        <w:spacing w:after="180" w:line="276" w:lineRule="auto"/>
        <w:jc w:val="both"/>
      </w:pPr>
      <w:r w:rsidRPr="00A97643">
        <w:t>Does URBACT III represent a plan or programme:</w:t>
      </w:r>
    </w:p>
    <w:p w:rsidR="00A720B1" w:rsidRPr="00A97643" w:rsidRDefault="00A720B1" w:rsidP="00D67ECF">
      <w:pPr>
        <w:numPr>
          <w:ilvl w:val="0"/>
          <w:numId w:val="61"/>
        </w:numPr>
        <w:spacing w:after="180" w:line="276" w:lineRule="auto"/>
        <w:ind w:left="0" w:hanging="357"/>
        <w:jc w:val="both"/>
      </w:pPr>
      <w:r w:rsidRPr="00A97643">
        <w:t>Which is subject to preparation and/or adoption by an authority at national, regional, or local level or which is prepared by an authority for adoption, through a legislative procedure by Parliament or Government?</w:t>
      </w:r>
    </w:p>
    <w:p w:rsidR="00A720B1" w:rsidRPr="00A97643" w:rsidRDefault="00A720B1" w:rsidP="00D67ECF">
      <w:pPr>
        <w:numPr>
          <w:ilvl w:val="0"/>
          <w:numId w:val="61"/>
        </w:numPr>
        <w:spacing w:after="180" w:line="276" w:lineRule="auto"/>
        <w:ind w:left="0" w:hanging="357"/>
        <w:jc w:val="both"/>
      </w:pPr>
      <w:r w:rsidRPr="00A97643">
        <w:t>Which is required by legislative, regulatory or administrative provisions?</w:t>
      </w:r>
    </w:p>
    <w:p w:rsidR="00A720B1" w:rsidRPr="00A97643" w:rsidRDefault="00A720B1" w:rsidP="00D67ECF">
      <w:pPr>
        <w:tabs>
          <w:tab w:val="num" w:pos="360"/>
        </w:tabs>
        <w:spacing w:after="180" w:line="276" w:lineRule="auto"/>
        <w:jc w:val="both"/>
      </w:pPr>
      <w:r w:rsidRPr="00A97643">
        <w:t xml:space="preserve">  </w:t>
      </w:r>
    </w:p>
    <w:p w:rsidR="00A720B1" w:rsidRPr="00A97643" w:rsidRDefault="00A720B1" w:rsidP="00D67ECF">
      <w:pPr>
        <w:tabs>
          <w:tab w:val="num" w:pos="360"/>
        </w:tabs>
        <w:spacing w:after="180" w:line="276" w:lineRule="auto"/>
        <w:jc w:val="both"/>
      </w:pPr>
      <w:r w:rsidRPr="00A97643">
        <w:t xml:space="preserve">      Answer</w:t>
      </w:r>
    </w:p>
    <w:p w:rsidR="00A720B1" w:rsidRPr="00A97643" w:rsidRDefault="00A720B1" w:rsidP="00D67ECF">
      <w:pPr>
        <w:tabs>
          <w:tab w:val="num" w:pos="360"/>
        </w:tabs>
        <w:spacing w:after="180" w:line="276" w:lineRule="auto"/>
        <w:jc w:val="both"/>
      </w:pPr>
      <w:r w:rsidRPr="00A97643">
        <w:t xml:space="preserve">URBACT III represents a “plan or programme” as per definition of Article 2 of </w:t>
      </w:r>
      <w:r w:rsidR="0029014E" w:rsidRPr="00A97643">
        <w:t>Directive 2001</w:t>
      </w:r>
      <w:r w:rsidRPr="00A97643">
        <w:t>/42/</w:t>
      </w:r>
      <w:r w:rsidR="0029014E" w:rsidRPr="00A97643">
        <w:t>EC.</w:t>
      </w:r>
    </w:p>
    <w:p w:rsidR="00A720B1" w:rsidRPr="00A97643" w:rsidRDefault="00A720B1" w:rsidP="00D67ECF">
      <w:pPr>
        <w:tabs>
          <w:tab w:val="num" w:pos="360"/>
        </w:tabs>
        <w:spacing w:after="180" w:line="276" w:lineRule="auto"/>
        <w:jc w:val="both"/>
      </w:pPr>
    </w:p>
    <w:p w:rsidR="00A720B1" w:rsidRPr="00A97643" w:rsidRDefault="00A720B1" w:rsidP="004C4BB9">
      <w:pPr>
        <w:tabs>
          <w:tab w:val="num" w:pos="360"/>
        </w:tabs>
        <w:spacing w:after="180" w:line="276" w:lineRule="auto"/>
        <w:jc w:val="both"/>
      </w:pPr>
      <w:r w:rsidRPr="00A97643">
        <w:t>Comments:</w:t>
      </w:r>
    </w:p>
    <w:p w:rsidR="00A720B1" w:rsidRPr="00A97643" w:rsidRDefault="00A720B1" w:rsidP="00D67ECF">
      <w:pPr>
        <w:numPr>
          <w:ilvl w:val="0"/>
          <w:numId w:val="63"/>
        </w:numPr>
        <w:spacing w:after="180" w:line="276" w:lineRule="auto"/>
        <w:ind w:left="714" w:hanging="357"/>
        <w:jc w:val="both"/>
      </w:pPr>
      <w:r w:rsidRPr="00A97643">
        <w:t xml:space="preserve">Regulation n° 1303/2013 laying down common provision for ERDF, ESF, CF, EAFRD, EMFF, regulation n° 1301/2013 </w:t>
      </w:r>
      <w:r w:rsidR="0029014E" w:rsidRPr="00A97643">
        <w:t>for ERDF</w:t>
      </w:r>
      <w:r w:rsidRPr="00A97643">
        <w:t>, regulation 1299/2013 on specific provisions for the support from ERDF to the European territorial cooperation goal, requires submission by Member States and adoption by the Commission of Operational Programmes as part of the strategic reference framework setting out a development strategy using a coherent set of priorities.</w:t>
      </w:r>
    </w:p>
    <w:p w:rsidR="00A720B1" w:rsidRPr="00A97643" w:rsidRDefault="00A720B1" w:rsidP="00D67ECF">
      <w:pPr>
        <w:numPr>
          <w:ilvl w:val="0"/>
          <w:numId w:val="63"/>
        </w:numPr>
        <w:spacing w:after="180" w:line="276" w:lineRule="auto"/>
        <w:ind w:left="714" w:hanging="357"/>
        <w:jc w:val="both"/>
      </w:pPr>
      <w:r w:rsidRPr="00A97643">
        <w:t xml:space="preserve">The operational programme of URBACT III complies with this requirement. The need for the operational programme has been stated in Regulation (EC) 1080/06 on 1299/2013 on specific provisions for the support from ERDF to the European territorial cooperation goal as part of the European territorial cooperation objective. </w:t>
      </w:r>
    </w:p>
    <w:p w:rsidR="00A720B1" w:rsidRPr="00A97643" w:rsidRDefault="00A720B1" w:rsidP="004C4BB9">
      <w:pPr>
        <w:tabs>
          <w:tab w:val="num" w:pos="360"/>
        </w:tabs>
        <w:spacing w:after="180" w:line="276" w:lineRule="auto"/>
        <w:jc w:val="both"/>
      </w:pPr>
    </w:p>
    <w:p w:rsidR="00A720B1" w:rsidRPr="00A97643" w:rsidRDefault="00A720B1" w:rsidP="00D67ECF">
      <w:pPr>
        <w:numPr>
          <w:ilvl w:val="1"/>
          <w:numId w:val="15"/>
        </w:numPr>
        <w:spacing w:after="180" w:line="276" w:lineRule="auto"/>
        <w:jc w:val="both"/>
      </w:pPr>
      <w:r w:rsidRPr="00A97643">
        <w:t xml:space="preserve">Does URBACT III set the framework for future development consent of </w:t>
      </w:r>
      <w:r w:rsidR="0029014E" w:rsidRPr="00A97643">
        <w:t>projects?</w:t>
      </w:r>
    </w:p>
    <w:p w:rsidR="00A720B1" w:rsidRPr="00A97643" w:rsidRDefault="00A720B1" w:rsidP="004C4BB9">
      <w:pPr>
        <w:tabs>
          <w:tab w:val="num" w:pos="360"/>
        </w:tabs>
        <w:spacing w:after="180" w:line="276" w:lineRule="auto"/>
        <w:jc w:val="both"/>
      </w:pPr>
    </w:p>
    <w:p w:rsidR="00A720B1" w:rsidRPr="00A97643" w:rsidRDefault="00A720B1" w:rsidP="004C4BB9">
      <w:pPr>
        <w:tabs>
          <w:tab w:val="num" w:pos="360"/>
        </w:tabs>
        <w:spacing w:after="180" w:line="276" w:lineRule="auto"/>
        <w:jc w:val="both"/>
      </w:pPr>
      <w:r w:rsidRPr="00A97643">
        <w:t>Questions:</w:t>
      </w:r>
    </w:p>
    <w:p w:rsidR="00A720B1" w:rsidRPr="00A97643" w:rsidRDefault="00A720B1" w:rsidP="00D67ECF">
      <w:pPr>
        <w:numPr>
          <w:ilvl w:val="0"/>
          <w:numId w:val="62"/>
        </w:numPr>
        <w:tabs>
          <w:tab w:val="num" w:pos="765"/>
        </w:tabs>
        <w:spacing w:after="180" w:line="276" w:lineRule="auto"/>
        <w:ind w:left="714" w:hanging="357"/>
        <w:jc w:val="both"/>
      </w:pPr>
      <w:r w:rsidRPr="00A97643">
        <w:t>Has the present Operational programme been prepared for agriculture, forestry, fisheries, energy, industry, transport, waste management, water management, telecommunications, tourism, town and country planning or land use;</w:t>
      </w:r>
    </w:p>
    <w:p w:rsidR="00A720B1" w:rsidRPr="00A97643" w:rsidRDefault="00A720B1" w:rsidP="00D67ECF">
      <w:pPr>
        <w:numPr>
          <w:ilvl w:val="0"/>
          <w:numId w:val="62"/>
        </w:numPr>
        <w:tabs>
          <w:tab w:val="num" w:pos="765"/>
        </w:tabs>
        <w:spacing w:after="180" w:line="276" w:lineRule="auto"/>
        <w:ind w:left="714" w:hanging="357"/>
        <w:jc w:val="both"/>
      </w:pPr>
      <w:r w:rsidRPr="00A97643">
        <w:t>Does the present Operational programme set the framework for future development consent of projects as listed in Annex I and II of Directive 85/337/EEC on Environmental Impact Assessment EIA?</w:t>
      </w:r>
    </w:p>
    <w:p w:rsidR="00A720B1" w:rsidRPr="00A97643" w:rsidRDefault="00A720B1" w:rsidP="004C4BB9">
      <w:pPr>
        <w:tabs>
          <w:tab w:val="num" w:pos="360"/>
        </w:tabs>
        <w:spacing w:after="180" w:line="276" w:lineRule="auto"/>
        <w:jc w:val="both"/>
      </w:pPr>
    </w:p>
    <w:p w:rsidR="00A720B1" w:rsidRPr="00A97643" w:rsidRDefault="00A720B1" w:rsidP="004C4BB9">
      <w:pPr>
        <w:spacing w:after="180" w:line="276" w:lineRule="auto"/>
      </w:pPr>
      <w:bookmarkStart w:id="81" w:name="_Toc381007284"/>
      <w:bookmarkStart w:id="82" w:name="_Toc381008704"/>
      <w:r w:rsidRPr="00A97643">
        <w:t>Answer</w:t>
      </w:r>
      <w:bookmarkEnd w:id="81"/>
      <w:bookmarkEnd w:id="82"/>
      <w:r w:rsidRPr="00A97643">
        <w:t xml:space="preserve"> </w:t>
      </w:r>
    </w:p>
    <w:p w:rsidR="00A720B1" w:rsidRPr="00A97643" w:rsidRDefault="00A720B1" w:rsidP="004C4BB9">
      <w:pPr>
        <w:pStyle w:val="afb"/>
        <w:autoSpaceDE w:val="0"/>
        <w:autoSpaceDN w:val="0"/>
        <w:adjustRightInd w:val="0"/>
        <w:spacing w:after="180" w:line="276" w:lineRule="auto"/>
        <w:ind w:left="540"/>
      </w:pPr>
      <w:r w:rsidRPr="00A97643">
        <w:t>No.</w:t>
      </w:r>
    </w:p>
    <w:p w:rsidR="00A720B1" w:rsidRPr="00A97643" w:rsidRDefault="00A720B1" w:rsidP="004C4BB9">
      <w:pPr>
        <w:tabs>
          <w:tab w:val="num" w:pos="360"/>
        </w:tabs>
        <w:spacing w:after="180" w:line="276" w:lineRule="auto"/>
        <w:jc w:val="both"/>
      </w:pPr>
    </w:p>
    <w:p w:rsidR="00A720B1" w:rsidRPr="00A97643" w:rsidRDefault="00A720B1" w:rsidP="00627420">
      <w:pPr>
        <w:spacing w:after="180" w:line="276" w:lineRule="auto"/>
      </w:pPr>
      <w:bookmarkStart w:id="83" w:name="_Toc381007285"/>
      <w:bookmarkStart w:id="84" w:name="_Toc381008705"/>
      <w:r w:rsidRPr="00A97643">
        <w:t>Comments</w:t>
      </w:r>
      <w:bookmarkEnd w:id="83"/>
      <w:bookmarkEnd w:id="84"/>
    </w:p>
    <w:p w:rsidR="00A720B1" w:rsidRPr="00A97643" w:rsidRDefault="00A720B1" w:rsidP="00D67ECF">
      <w:pPr>
        <w:pStyle w:val="afb"/>
        <w:autoSpaceDE w:val="0"/>
        <w:autoSpaceDN w:val="0"/>
        <w:adjustRightInd w:val="0"/>
        <w:spacing w:after="180" w:line="276" w:lineRule="auto"/>
        <w:ind w:left="0"/>
        <w:jc w:val="both"/>
      </w:pPr>
      <w:r w:rsidRPr="00A97643">
        <w:t xml:space="preserve">URBACT does not directly invest in urban development (such as road building or science park construction). It does not directly set the framework for future development consent of projects. </w:t>
      </w:r>
    </w:p>
    <w:p w:rsidR="00A720B1" w:rsidRPr="00A97643" w:rsidRDefault="00A720B1" w:rsidP="00D67ECF">
      <w:pPr>
        <w:pStyle w:val="afb"/>
        <w:autoSpaceDE w:val="0"/>
        <w:autoSpaceDN w:val="0"/>
        <w:adjustRightInd w:val="0"/>
        <w:spacing w:after="180" w:line="276" w:lineRule="auto"/>
        <w:ind w:left="0"/>
        <w:jc w:val="both"/>
      </w:pPr>
      <w:r w:rsidRPr="00A97643">
        <w:t>Instead the programme enables exchange and learning between elected officials, officers and other city stakeholders; it contributes to the improvement of the quality of planning and implementation of integrated urban plans and programmes in cities, through policy learning on sustainable urban development, through the setting up of Local Support Groups and the Local Action Plans that they produce. URBACT will have an indirect effect on the implementation in Operational Programmes</w:t>
      </w:r>
    </w:p>
    <w:p w:rsidR="00A720B1" w:rsidRPr="00A97643" w:rsidRDefault="00A720B1" w:rsidP="00D67ECF">
      <w:pPr>
        <w:pStyle w:val="afb"/>
        <w:autoSpaceDE w:val="0"/>
        <w:autoSpaceDN w:val="0"/>
        <w:adjustRightInd w:val="0"/>
        <w:spacing w:after="180" w:line="276" w:lineRule="auto"/>
        <w:ind w:left="0"/>
      </w:pPr>
      <w:r w:rsidRPr="00A97643">
        <w:t>Projects, in the strict sense of Directive 85/337/EEC on EIA are related to:</w:t>
      </w:r>
    </w:p>
    <w:p w:rsidR="00A720B1" w:rsidRPr="00A97643" w:rsidRDefault="00A720B1" w:rsidP="00D67ECF">
      <w:pPr>
        <w:numPr>
          <w:ilvl w:val="0"/>
          <w:numId w:val="64"/>
        </w:numPr>
        <w:spacing w:after="180" w:line="276" w:lineRule="auto"/>
        <w:jc w:val="both"/>
      </w:pPr>
      <w:r w:rsidRPr="00A97643">
        <w:t>The execution of construction works or of other installations or schemes</w:t>
      </w:r>
    </w:p>
    <w:p w:rsidR="00A720B1" w:rsidRPr="00A97643" w:rsidRDefault="00A720B1" w:rsidP="00D67ECF">
      <w:pPr>
        <w:numPr>
          <w:ilvl w:val="0"/>
          <w:numId w:val="64"/>
        </w:numPr>
        <w:spacing w:after="180" w:line="276" w:lineRule="auto"/>
        <w:jc w:val="both"/>
      </w:pPr>
      <w:r w:rsidRPr="00A97643">
        <w:t>Other interventions in the natural surroundings and landscape including those involving the extraction of mineral resources</w:t>
      </w:r>
    </w:p>
    <w:p w:rsidR="00A720B1" w:rsidRPr="00A97643" w:rsidRDefault="00A720B1" w:rsidP="00D67ECF">
      <w:pPr>
        <w:pStyle w:val="afb"/>
        <w:autoSpaceDE w:val="0"/>
        <w:autoSpaceDN w:val="0"/>
        <w:adjustRightInd w:val="0"/>
        <w:spacing w:after="180" w:line="276" w:lineRule="auto"/>
        <w:ind w:left="0"/>
        <w:jc w:val="both"/>
      </w:pPr>
      <w:r w:rsidRPr="00A97643">
        <w:t>The types of projects involving practical construction works and on-site development activities are listed in Annex I and II of the EIA Directive. URBACT III does neither set the framework for the development consent of such projects, nor does it contain criteria or conditions which might guide the way a consenting authority decides on an application for development consent.</w:t>
      </w:r>
    </w:p>
    <w:p w:rsidR="00A720B1" w:rsidRPr="00A97643" w:rsidRDefault="00A720B1" w:rsidP="00D67ECF">
      <w:pPr>
        <w:pStyle w:val="afb"/>
        <w:autoSpaceDE w:val="0"/>
        <w:autoSpaceDN w:val="0"/>
        <w:adjustRightInd w:val="0"/>
        <w:spacing w:after="180" w:line="276" w:lineRule="auto"/>
        <w:ind w:left="0"/>
      </w:pPr>
    </w:p>
    <w:p w:rsidR="00A720B1" w:rsidRPr="00A97643" w:rsidRDefault="00A720B1" w:rsidP="00D67ECF">
      <w:pPr>
        <w:numPr>
          <w:ilvl w:val="1"/>
          <w:numId w:val="15"/>
        </w:numPr>
        <w:spacing w:after="180" w:line="276" w:lineRule="auto"/>
        <w:ind w:left="357" w:hanging="357"/>
        <w:jc w:val="both"/>
      </w:pPr>
      <w:r w:rsidRPr="00A97643">
        <w:t>Does URBACT III, in view with a potential effect on sites, require an assessment under Article 6 and 7 of the Directive 92/43/</w:t>
      </w:r>
      <w:r w:rsidR="0029014E" w:rsidRPr="00A97643">
        <w:t>EEC?</w:t>
      </w:r>
    </w:p>
    <w:p w:rsidR="00A720B1" w:rsidRPr="00A97643" w:rsidRDefault="00A720B1" w:rsidP="00D67ECF">
      <w:pPr>
        <w:tabs>
          <w:tab w:val="num" w:pos="360"/>
        </w:tabs>
        <w:spacing w:after="180" w:line="276" w:lineRule="auto"/>
        <w:jc w:val="both"/>
      </w:pPr>
    </w:p>
    <w:p w:rsidR="00A720B1" w:rsidRPr="00A97643" w:rsidRDefault="00A720B1" w:rsidP="005433CE">
      <w:pPr>
        <w:spacing w:after="180" w:line="276" w:lineRule="auto"/>
      </w:pPr>
      <w:bookmarkStart w:id="85" w:name="_Toc381007286"/>
      <w:bookmarkStart w:id="86" w:name="_Toc381008706"/>
      <w:r w:rsidRPr="00A97643">
        <w:t>Answer</w:t>
      </w:r>
      <w:bookmarkEnd w:id="85"/>
      <w:bookmarkEnd w:id="86"/>
    </w:p>
    <w:p w:rsidR="00627420" w:rsidRPr="00A97643" w:rsidRDefault="00627420" w:rsidP="00627420"/>
    <w:p w:rsidR="00A720B1" w:rsidRPr="00A97643" w:rsidRDefault="00A720B1" w:rsidP="00D67ECF">
      <w:pPr>
        <w:tabs>
          <w:tab w:val="num" w:pos="360"/>
        </w:tabs>
        <w:spacing w:after="180" w:line="276" w:lineRule="auto"/>
        <w:jc w:val="both"/>
      </w:pPr>
      <w:r w:rsidRPr="00A97643">
        <w:t>No</w:t>
      </w:r>
    </w:p>
    <w:p w:rsidR="00D67ECF" w:rsidRPr="00A97643" w:rsidRDefault="00D67ECF" w:rsidP="00627420">
      <w:bookmarkStart w:id="87" w:name="_Toc381007287"/>
      <w:bookmarkStart w:id="88" w:name="_Toc381008707"/>
    </w:p>
    <w:p w:rsidR="00A720B1" w:rsidRPr="00A97643" w:rsidRDefault="00A720B1" w:rsidP="005433CE">
      <w:pPr>
        <w:spacing w:after="180" w:line="276" w:lineRule="auto"/>
      </w:pPr>
      <w:r w:rsidRPr="00A97643">
        <w:t>Comments</w:t>
      </w:r>
      <w:bookmarkEnd w:id="87"/>
      <w:bookmarkEnd w:id="88"/>
    </w:p>
    <w:p w:rsidR="00A720B1" w:rsidRPr="00A97643" w:rsidRDefault="00A720B1" w:rsidP="00D67ECF">
      <w:pPr>
        <w:tabs>
          <w:tab w:val="num" w:pos="360"/>
        </w:tabs>
        <w:spacing w:after="180" w:line="276" w:lineRule="auto"/>
        <w:jc w:val="both"/>
      </w:pPr>
      <w:r w:rsidRPr="00A97643">
        <w:t>According to the Habitat Directive 92/43/EEC Member States are to establish special areas of conservation (as part of a coherent European ecological network of protected sites, Natura 2000) for rare and vulnerable habitat types and species which occur in their territory.</w:t>
      </w:r>
    </w:p>
    <w:p w:rsidR="00A720B1" w:rsidRPr="00A97643" w:rsidRDefault="00A720B1" w:rsidP="00D67ECF">
      <w:pPr>
        <w:pStyle w:val="afb"/>
        <w:autoSpaceDE w:val="0"/>
        <w:autoSpaceDN w:val="0"/>
        <w:adjustRightInd w:val="0"/>
        <w:spacing w:after="180" w:line="276" w:lineRule="auto"/>
        <w:ind w:left="0"/>
        <w:jc w:val="both"/>
      </w:pPr>
      <w:r w:rsidRPr="00A97643">
        <w:t>According to Article 6 (3) any plan or project not directly connected with or necessary to the management of the site but likely to have a significant effect thereon, either individually or in combination with other plans or projects, shall be subject to appropriate assessment of its implication for the site in view of the site’s conservation objectives.</w:t>
      </w:r>
    </w:p>
    <w:p w:rsidR="00A720B1" w:rsidRPr="00A97643" w:rsidRDefault="00A720B1" w:rsidP="00D67ECF">
      <w:pPr>
        <w:pStyle w:val="afb"/>
        <w:autoSpaceDE w:val="0"/>
        <w:autoSpaceDN w:val="0"/>
        <w:adjustRightInd w:val="0"/>
        <w:spacing w:after="180" w:line="276" w:lineRule="auto"/>
        <w:ind w:left="0"/>
        <w:jc w:val="both"/>
      </w:pPr>
      <w:r w:rsidRPr="00A97643">
        <w:t xml:space="preserve">URBACT III does not support projects or actions that are likely to affect sites in the Natura 2000 Network. It spreads systematic and standardized description of working practices mainly through </w:t>
      </w:r>
      <w:r w:rsidR="0029014E" w:rsidRPr="00A97643">
        <w:t>exchanges,</w:t>
      </w:r>
      <w:r w:rsidRPr="00A97643">
        <w:t xml:space="preserve"> studies and dissemination of information.</w:t>
      </w:r>
    </w:p>
    <w:p w:rsidR="00A720B1" w:rsidRPr="00A97643" w:rsidRDefault="00A720B1" w:rsidP="00D67ECF">
      <w:pPr>
        <w:tabs>
          <w:tab w:val="num" w:pos="360"/>
        </w:tabs>
        <w:spacing w:after="180" w:line="276" w:lineRule="auto"/>
        <w:jc w:val="both"/>
      </w:pPr>
    </w:p>
    <w:p w:rsidR="00A720B1" w:rsidRPr="00A97643" w:rsidRDefault="00A720B1" w:rsidP="00D67ECF">
      <w:pPr>
        <w:numPr>
          <w:ilvl w:val="1"/>
          <w:numId w:val="15"/>
        </w:numPr>
        <w:spacing w:after="180" w:line="276" w:lineRule="auto"/>
        <w:ind w:left="357" w:hanging="357"/>
        <w:jc w:val="both"/>
      </w:pPr>
      <w:r w:rsidRPr="00A97643">
        <w:t xml:space="preserve">Is URBACT III likely to have significant environmental </w:t>
      </w:r>
      <w:r w:rsidR="0029014E" w:rsidRPr="00A97643">
        <w:t>effects?</w:t>
      </w:r>
    </w:p>
    <w:p w:rsidR="00A720B1" w:rsidRPr="00A97643" w:rsidRDefault="00A720B1" w:rsidP="00D67ECF">
      <w:pPr>
        <w:tabs>
          <w:tab w:val="num" w:pos="360"/>
        </w:tabs>
        <w:spacing w:after="180" w:line="276" w:lineRule="auto"/>
        <w:jc w:val="both"/>
      </w:pPr>
    </w:p>
    <w:p w:rsidR="00A720B1" w:rsidRPr="00A97643" w:rsidRDefault="00A720B1" w:rsidP="00D67ECF">
      <w:pPr>
        <w:pStyle w:val="afb"/>
        <w:autoSpaceDE w:val="0"/>
        <w:autoSpaceDN w:val="0"/>
        <w:adjustRightInd w:val="0"/>
        <w:spacing w:after="180" w:line="276" w:lineRule="auto"/>
        <w:ind w:left="0"/>
        <w:jc w:val="both"/>
      </w:pPr>
      <w:r w:rsidRPr="00A97643">
        <w:t>The “testing” of URBACT III against questions 3.1 to 3.3 above proves that the present programme does not represent one of the standard cases explicitly listed in Directive 2001/42/EC, which require a full environmental assessment. In such a situation, the SEA Directive foresees that it has to be verified if the programme is still likely to have significant environmental effects (Article 3 (4°)).</w:t>
      </w:r>
    </w:p>
    <w:p w:rsidR="00A720B1" w:rsidRPr="00A97643" w:rsidRDefault="00A720B1" w:rsidP="00D67ECF">
      <w:pPr>
        <w:pStyle w:val="afb"/>
        <w:autoSpaceDE w:val="0"/>
        <w:autoSpaceDN w:val="0"/>
        <w:adjustRightInd w:val="0"/>
        <w:spacing w:after="180" w:line="276" w:lineRule="auto"/>
        <w:ind w:left="0"/>
        <w:jc w:val="both"/>
      </w:pPr>
      <w:r w:rsidRPr="00A97643">
        <w:t xml:space="preserve">The relevant criteria set out in Annex </w:t>
      </w:r>
      <w:r w:rsidR="0029014E" w:rsidRPr="00A97643">
        <w:t>II of</w:t>
      </w:r>
      <w:r w:rsidRPr="00A97643">
        <w:t xml:space="preserve"> the SEA Directive have to be taken in account in order to assess the nature of the plan or programme and its likely significant </w:t>
      </w:r>
      <w:r w:rsidR="0029014E" w:rsidRPr="00A97643">
        <w:t>effects</w:t>
      </w:r>
      <w:r w:rsidRPr="00A97643">
        <w:t xml:space="preserve"> on the environment. An assessment has been included in the Annex of this examination report, which has been used to establish answers to the questions below.</w:t>
      </w:r>
    </w:p>
    <w:p w:rsidR="00A720B1" w:rsidRPr="00A97643" w:rsidRDefault="00A720B1" w:rsidP="00D67ECF">
      <w:pPr>
        <w:tabs>
          <w:tab w:val="num" w:pos="360"/>
        </w:tabs>
        <w:spacing w:after="180" w:line="276" w:lineRule="auto"/>
        <w:jc w:val="both"/>
      </w:pPr>
    </w:p>
    <w:p w:rsidR="00A720B1" w:rsidRPr="00A97643" w:rsidRDefault="00A720B1" w:rsidP="005433CE">
      <w:pPr>
        <w:spacing w:after="180" w:line="276" w:lineRule="auto"/>
      </w:pPr>
      <w:bookmarkStart w:id="89" w:name="_Toc381007288"/>
      <w:bookmarkStart w:id="90" w:name="_Toc381008708"/>
      <w:r w:rsidRPr="00A97643">
        <w:t>Question</w:t>
      </w:r>
      <w:bookmarkEnd w:id="89"/>
      <w:bookmarkEnd w:id="90"/>
    </w:p>
    <w:p w:rsidR="00627420" w:rsidRPr="00A97643" w:rsidRDefault="00627420" w:rsidP="00D67ECF">
      <w:pPr>
        <w:pStyle w:val="afb"/>
        <w:autoSpaceDE w:val="0"/>
        <w:autoSpaceDN w:val="0"/>
        <w:adjustRightInd w:val="0"/>
        <w:spacing w:after="180" w:line="276" w:lineRule="auto"/>
        <w:ind w:left="0"/>
      </w:pPr>
    </w:p>
    <w:p w:rsidR="00A720B1" w:rsidRPr="00A97643" w:rsidRDefault="00A720B1" w:rsidP="00D67ECF">
      <w:pPr>
        <w:pStyle w:val="afb"/>
        <w:autoSpaceDE w:val="0"/>
        <w:autoSpaceDN w:val="0"/>
        <w:adjustRightInd w:val="0"/>
        <w:spacing w:after="180" w:line="276" w:lineRule="auto"/>
        <w:ind w:left="0"/>
      </w:pPr>
      <w:r w:rsidRPr="00A97643">
        <w:t>Does URBACT III set the framework for future development consent of projects other than those under the EIA Directive?</w:t>
      </w:r>
    </w:p>
    <w:p w:rsidR="00A720B1" w:rsidRPr="00A97643" w:rsidRDefault="00A720B1" w:rsidP="00D67ECF">
      <w:pPr>
        <w:tabs>
          <w:tab w:val="num" w:pos="360"/>
        </w:tabs>
        <w:spacing w:after="180" w:line="276" w:lineRule="auto"/>
        <w:jc w:val="both"/>
      </w:pPr>
    </w:p>
    <w:p w:rsidR="00A720B1" w:rsidRPr="00A97643" w:rsidRDefault="00A720B1" w:rsidP="005433CE">
      <w:pPr>
        <w:spacing w:after="180" w:line="276" w:lineRule="auto"/>
      </w:pPr>
      <w:bookmarkStart w:id="91" w:name="_Toc381007289"/>
      <w:bookmarkStart w:id="92" w:name="_Toc381008709"/>
      <w:r w:rsidRPr="00A97643">
        <w:t>Answer</w:t>
      </w:r>
      <w:bookmarkEnd w:id="91"/>
      <w:bookmarkEnd w:id="92"/>
    </w:p>
    <w:p w:rsidR="00A720B1" w:rsidRPr="00A97643" w:rsidRDefault="00A720B1" w:rsidP="00D67ECF">
      <w:pPr>
        <w:tabs>
          <w:tab w:val="num" w:pos="360"/>
        </w:tabs>
        <w:spacing w:after="180" w:line="276" w:lineRule="auto"/>
        <w:jc w:val="both"/>
      </w:pPr>
      <w:r w:rsidRPr="00A97643">
        <w:t>No</w:t>
      </w:r>
    </w:p>
    <w:p w:rsidR="00A720B1" w:rsidRPr="00A97643" w:rsidRDefault="00A720B1" w:rsidP="00D67ECF">
      <w:pPr>
        <w:tabs>
          <w:tab w:val="num" w:pos="360"/>
        </w:tabs>
        <w:spacing w:after="180" w:line="276" w:lineRule="auto"/>
        <w:jc w:val="both"/>
      </w:pPr>
    </w:p>
    <w:p w:rsidR="00A720B1" w:rsidRPr="00A97643" w:rsidRDefault="00A720B1" w:rsidP="005433CE">
      <w:pPr>
        <w:spacing w:after="180" w:line="276" w:lineRule="auto"/>
      </w:pPr>
      <w:bookmarkStart w:id="93" w:name="_Toc381007290"/>
      <w:bookmarkStart w:id="94" w:name="_Toc381008710"/>
      <w:r w:rsidRPr="00A97643">
        <w:t>Comments</w:t>
      </w:r>
      <w:bookmarkEnd w:id="93"/>
      <w:bookmarkEnd w:id="94"/>
    </w:p>
    <w:p w:rsidR="00A720B1" w:rsidRPr="00A97643" w:rsidRDefault="00A720B1" w:rsidP="00D67ECF">
      <w:pPr>
        <w:numPr>
          <w:ilvl w:val="0"/>
          <w:numId w:val="65"/>
        </w:numPr>
        <w:spacing w:after="180" w:line="276" w:lineRule="auto"/>
        <w:jc w:val="both"/>
      </w:pPr>
      <w:r w:rsidRPr="00A97643">
        <w:t xml:space="preserve">Development consent is not defined in the Directive, but according to the SEA guidance document it normally means that the plan or programme contains criteria or conditions which guide the way the consenting authority decide an application for development consent, for instance in placing limits on the type of activity or development which is to be permitted in a given area </w:t>
      </w:r>
    </w:p>
    <w:p w:rsidR="00A720B1" w:rsidRPr="00A97643" w:rsidRDefault="00A720B1" w:rsidP="00D67ECF">
      <w:pPr>
        <w:numPr>
          <w:ilvl w:val="0"/>
          <w:numId w:val="65"/>
        </w:numPr>
        <w:spacing w:after="180" w:line="276" w:lineRule="auto"/>
        <w:jc w:val="both"/>
      </w:pPr>
      <w:r w:rsidRPr="00A97643">
        <w:t>The URBACT III Operational programme aims to develop exchanges among city policy makers and practitioners, and disseminate standardized information in order to develop appropriate and integrated solutions for urban policies. It does not set the framework for the development consent of projects</w:t>
      </w:r>
    </w:p>
    <w:p w:rsidR="00A720B1" w:rsidRPr="00A97643" w:rsidRDefault="00A720B1" w:rsidP="00D67ECF">
      <w:pPr>
        <w:tabs>
          <w:tab w:val="num" w:pos="360"/>
        </w:tabs>
        <w:spacing w:after="180" w:line="276" w:lineRule="auto"/>
        <w:jc w:val="both"/>
      </w:pPr>
    </w:p>
    <w:p w:rsidR="00A720B1" w:rsidRPr="00A97643" w:rsidRDefault="00A720B1" w:rsidP="005433CE">
      <w:pPr>
        <w:spacing w:after="180" w:line="276" w:lineRule="auto"/>
      </w:pPr>
      <w:bookmarkStart w:id="95" w:name="_Toc381007291"/>
      <w:bookmarkStart w:id="96" w:name="_Toc381008711"/>
      <w:r w:rsidRPr="00A97643">
        <w:t>Question</w:t>
      </w:r>
      <w:bookmarkEnd w:id="95"/>
      <w:bookmarkEnd w:id="96"/>
    </w:p>
    <w:p w:rsidR="00A720B1" w:rsidRPr="00A97643" w:rsidRDefault="00A720B1" w:rsidP="00D67ECF">
      <w:pPr>
        <w:pStyle w:val="afb"/>
        <w:autoSpaceDE w:val="0"/>
        <w:autoSpaceDN w:val="0"/>
        <w:adjustRightInd w:val="0"/>
        <w:spacing w:after="180" w:line="276" w:lineRule="auto"/>
        <w:ind w:left="0"/>
      </w:pPr>
      <w:r w:rsidRPr="00A97643">
        <w:t xml:space="preserve">Is URBACT III likely to have a significant environmental </w:t>
      </w:r>
      <w:r w:rsidR="0029014E" w:rsidRPr="00A97643">
        <w:t>effect?</w:t>
      </w:r>
    </w:p>
    <w:p w:rsidR="00A720B1" w:rsidRPr="00A97643" w:rsidRDefault="00A720B1" w:rsidP="00D67ECF">
      <w:pPr>
        <w:tabs>
          <w:tab w:val="num" w:pos="360"/>
        </w:tabs>
        <w:spacing w:after="180" w:line="276" w:lineRule="auto"/>
        <w:jc w:val="both"/>
      </w:pPr>
    </w:p>
    <w:p w:rsidR="00A720B1" w:rsidRPr="00A97643" w:rsidRDefault="00A720B1" w:rsidP="005433CE">
      <w:pPr>
        <w:spacing w:after="180" w:line="276" w:lineRule="auto"/>
      </w:pPr>
      <w:bookmarkStart w:id="97" w:name="_Toc381007292"/>
      <w:bookmarkStart w:id="98" w:name="_Toc381008712"/>
      <w:r w:rsidRPr="00A97643">
        <w:t>Answer</w:t>
      </w:r>
      <w:bookmarkEnd w:id="97"/>
      <w:bookmarkEnd w:id="98"/>
    </w:p>
    <w:p w:rsidR="00A720B1" w:rsidRPr="00CB6B70" w:rsidRDefault="00A720B1" w:rsidP="00D67ECF">
      <w:pPr>
        <w:pStyle w:val="ListBullet1"/>
        <w:tabs>
          <w:tab w:val="clear" w:pos="360"/>
        </w:tabs>
        <w:spacing w:after="180" w:line="276" w:lineRule="auto"/>
        <w:ind w:left="0"/>
        <w:rPr>
          <w:lang w:val="en-US"/>
        </w:rPr>
      </w:pPr>
      <w:r w:rsidRPr="00CB6B70">
        <w:rPr>
          <w:lang w:val="en-US"/>
        </w:rPr>
        <w:t xml:space="preserve">URBACT is primarily a capacity building programme through exchange of experience. It looks for appropriate and integrated solutions for urban policies and is unlikely to have direct significant environmental effects. </w:t>
      </w:r>
    </w:p>
    <w:p w:rsidR="00A720B1" w:rsidRPr="00A97643" w:rsidRDefault="00A720B1" w:rsidP="00D67ECF">
      <w:pPr>
        <w:tabs>
          <w:tab w:val="num" w:pos="360"/>
        </w:tabs>
        <w:spacing w:after="180" w:line="276" w:lineRule="auto"/>
        <w:jc w:val="both"/>
      </w:pPr>
    </w:p>
    <w:p w:rsidR="00A720B1" w:rsidRPr="00A97643" w:rsidRDefault="00A720B1" w:rsidP="005433CE">
      <w:pPr>
        <w:spacing w:after="180" w:line="276" w:lineRule="auto"/>
      </w:pPr>
      <w:bookmarkStart w:id="99" w:name="_Toc381007293"/>
      <w:bookmarkStart w:id="100" w:name="_Toc381008713"/>
      <w:r w:rsidRPr="00A97643">
        <w:t>Comments</w:t>
      </w:r>
      <w:bookmarkEnd w:id="99"/>
      <w:bookmarkEnd w:id="100"/>
    </w:p>
    <w:p w:rsidR="00A720B1" w:rsidRPr="00A97643" w:rsidRDefault="00A720B1" w:rsidP="00D67ECF">
      <w:pPr>
        <w:numPr>
          <w:ilvl w:val="0"/>
          <w:numId w:val="66"/>
        </w:numPr>
        <w:spacing w:after="180" w:line="276" w:lineRule="auto"/>
        <w:jc w:val="both"/>
      </w:pPr>
      <w:r w:rsidRPr="00A97643">
        <w:t xml:space="preserve">URBACT III does not set a framework for future development consent of projects. Therefore the question if the programme has significant direct environmental impacts does not apply. </w:t>
      </w:r>
    </w:p>
    <w:p w:rsidR="00A720B1" w:rsidRPr="00A97643" w:rsidRDefault="00A720B1" w:rsidP="00D67ECF">
      <w:pPr>
        <w:numPr>
          <w:ilvl w:val="0"/>
          <w:numId w:val="66"/>
        </w:numPr>
        <w:spacing w:after="180" w:line="276" w:lineRule="auto"/>
        <w:jc w:val="both"/>
      </w:pPr>
      <w:r w:rsidRPr="00A97643">
        <w:t xml:space="preserve">URBACT III is not an action programme, but an exchange programme. So it does not co-finance any investment programme. Eventual co-financing from ERDF will come from the Regional Operational programmes, which are required for full SEA. </w:t>
      </w:r>
    </w:p>
    <w:p w:rsidR="00A720B1" w:rsidRPr="00A97643" w:rsidRDefault="00A720B1" w:rsidP="00D67ECF">
      <w:pPr>
        <w:numPr>
          <w:ilvl w:val="0"/>
          <w:numId w:val="66"/>
        </w:numPr>
        <w:spacing w:after="180" w:line="276" w:lineRule="auto"/>
        <w:jc w:val="both"/>
      </w:pPr>
      <w:r w:rsidRPr="00A97643">
        <w:t>According to the guidance document for the SEA Directive, the use of the word “likely” suggest that the environmental effects to be considered are those which can be expected with a reasonable degree of probability. Since it is impossible to determine whether there is a reasonable degree in the case of the URBACT III Draft Operational programme, it can be assumed that the programme is unlikely to have significant environmental effects.</w:t>
      </w:r>
    </w:p>
    <w:p w:rsidR="00A720B1" w:rsidRPr="00A97643" w:rsidRDefault="00A720B1" w:rsidP="00D67ECF">
      <w:pPr>
        <w:tabs>
          <w:tab w:val="num" w:pos="360"/>
        </w:tabs>
        <w:spacing w:after="180" w:line="276" w:lineRule="auto"/>
        <w:jc w:val="both"/>
      </w:pPr>
    </w:p>
    <w:p w:rsidR="00A720B1" w:rsidRPr="00A97643" w:rsidRDefault="00A720B1" w:rsidP="00D67ECF">
      <w:pPr>
        <w:numPr>
          <w:ilvl w:val="1"/>
          <w:numId w:val="15"/>
        </w:numPr>
        <w:spacing w:after="180" w:line="276" w:lineRule="auto"/>
        <w:ind w:left="357" w:hanging="357"/>
        <w:jc w:val="both"/>
      </w:pPr>
      <w:r w:rsidRPr="00A97643">
        <w:t>Conclusion</w:t>
      </w:r>
    </w:p>
    <w:p w:rsidR="00A720B1" w:rsidRPr="00A97643" w:rsidRDefault="00A720B1" w:rsidP="00D67ECF">
      <w:pPr>
        <w:tabs>
          <w:tab w:val="num" w:pos="360"/>
        </w:tabs>
        <w:spacing w:after="180" w:line="276" w:lineRule="auto"/>
        <w:jc w:val="both"/>
      </w:pPr>
    </w:p>
    <w:p w:rsidR="00A720B1" w:rsidRPr="00A97643" w:rsidRDefault="00A720B1" w:rsidP="00D67ECF">
      <w:pPr>
        <w:pStyle w:val="afb"/>
        <w:autoSpaceDE w:val="0"/>
        <w:autoSpaceDN w:val="0"/>
        <w:adjustRightInd w:val="0"/>
        <w:spacing w:after="180" w:line="276" w:lineRule="auto"/>
        <w:ind w:left="0"/>
        <w:jc w:val="both"/>
      </w:pPr>
      <w:r w:rsidRPr="00A97643">
        <w:t>The below provides an overview of the results of the examination of the URBACT III Operational programme against the likelihood of significant environmental effects in accordance with Article 3 (5) Directive 2001/42/EC.</w:t>
      </w:r>
    </w:p>
    <w:p w:rsidR="00FA3F76" w:rsidRPr="00A97643" w:rsidRDefault="00FA3F76">
      <w:pPr>
        <w:spacing w:after="200" w:line="276" w:lineRule="auto"/>
      </w:pPr>
      <w:r w:rsidRPr="00A97643">
        <w:br w:type="page"/>
      </w:r>
    </w:p>
    <w:p w:rsidR="00A720B1" w:rsidRPr="00A97643" w:rsidRDefault="00A720B1" w:rsidP="00A720B1">
      <w:pPr>
        <w:tabs>
          <w:tab w:val="num" w:pos="360"/>
        </w:tabs>
        <w:spacing w:before="60"/>
        <w:jc w:val="both"/>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7"/>
        <w:gridCol w:w="992"/>
        <w:gridCol w:w="142"/>
      </w:tblGrid>
      <w:tr w:rsidR="00A720B1" w:rsidRPr="00A97643" w:rsidTr="003E696B">
        <w:trPr>
          <w:gridAfter w:val="1"/>
          <w:wAfter w:w="142" w:type="dxa"/>
          <w:trHeight w:val="417"/>
        </w:trPr>
        <w:tc>
          <w:tcPr>
            <w:tcW w:w="8647" w:type="dxa"/>
            <w:tcBorders>
              <w:top w:val="single" w:sz="4" w:space="0" w:color="auto"/>
              <w:left w:val="single" w:sz="4" w:space="0" w:color="auto"/>
              <w:bottom w:val="single" w:sz="4" w:space="0" w:color="auto"/>
              <w:right w:val="single" w:sz="4" w:space="0" w:color="auto"/>
            </w:tcBorders>
          </w:tcPr>
          <w:p w:rsidR="00A720B1" w:rsidRPr="00A97643" w:rsidRDefault="00A720B1" w:rsidP="005433CE">
            <w:pPr>
              <w:tabs>
                <w:tab w:val="left" w:pos="639"/>
              </w:tabs>
              <w:spacing w:before="120"/>
              <w:ind w:right="334" w:firstLine="357"/>
            </w:pPr>
            <w:r w:rsidRPr="00A97643">
              <w:t xml:space="preserve"> </w:t>
            </w:r>
            <w:bookmarkStart w:id="101" w:name="_Toc381007294"/>
            <w:bookmarkStart w:id="102" w:name="_Toc381008714"/>
            <w:r w:rsidRPr="00A97643">
              <w:t>SEA Directive Article and examination question</w:t>
            </w:r>
            <w:bookmarkEnd w:id="101"/>
            <w:bookmarkEnd w:id="102"/>
            <w:r w:rsidRPr="00A97643">
              <w:t xml:space="preserve">  </w:t>
            </w:r>
          </w:p>
          <w:p w:rsidR="00A720B1" w:rsidRPr="00A97643" w:rsidRDefault="00A720B1" w:rsidP="005433CE">
            <w:pPr>
              <w:tabs>
                <w:tab w:val="num" w:pos="360"/>
                <w:tab w:val="left" w:pos="639"/>
              </w:tabs>
              <w:spacing w:before="120"/>
              <w:ind w:left="360" w:right="334" w:firstLine="357"/>
              <w:jc w:val="both"/>
            </w:pPr>
          </w:p>
        </w:tc>
        <w:tc>
          <w:tcPr>
            <w:tcW w:w="992" w:type="dxa"/>
            <w:tcBorders>
              <w:top w:val="single" w:sz="4" w:space="0" w:color="auto"/>
              <w:left w:val="single" w:sz="4" w:space="0" w:color="auto"/>
              <w:bottom w:val="single" w:sz="4" w:space="0" w:color="auto"/>
              <w:right w:val="single" w:sz="4" w:space="0" w:color="auto"/>
            </w:tcBorders>
          </w:tcPr>
          <w:p w:rsidR="00A720B1" w:rsidRPr="00A97643" w:rsidRDefault="00A720B1" w:rsidP="005433CE">
            <w:pPr>
              <w:tabs>
                <w:tab w:val="left" w:pos="639"/>
              </w:tabs>
              <w:spacing w:before="120"/>
              <w:jc w:val="center"/>
            </w:pPr>
            <w:bookmarkStart w:id="103" w:name="_Toc381007295"/>
            <w:bookmarkStart w:id="104" w:name="_Toc381008715"/>
            <w:r w:rsidRPr="00A97643">
              <w:t>Result</w:t>
            </w:r>
            <w:bookmarkEnd w:id="103"/>
            <w:bookmarkEnd w:id="104"/>
          </w:p>
        </w:tc>
      </w:tr>
      <w:tr w:rsidR="00A720B1" w:rsidRPr="00A97643" w:rsidTr="003E696B">
        <w:trPr>
          <w:gridAfter w:val="1"/>
          <w:wAfter w:w="142" w:type="dxa"/>
        </w:trPr>
        <w:tc>
          <w:tcPr>
            <w:tcW w:w="8647" w:type="dxa"/>
            <w:tcBorders>
              <w:top w:val="single" w:sz="4" w:space="0" w:color="auto"/>
              <w:left w:val="single" w:sz="4" w:space="0" w:color="auto"/>
              <w:bottom w:val="single" w:sz="4" w:space="0" w:color="auto"/>
              <w:right w:val="single" w:sz="4" w:space="0" w:color="auto"/>
            </w:tcBorders>
          </w:tcPr>
          <w:p w:rsidR="00A720B1" w:rsidRPr="00A97643" w:rsidRDefault="00A720B1" w:rsidP="005433CE">
            <w:pPr>
              <w:tabs>
                <w:tab w:val="left" w:pos="639"/>
              </w:tabs>
              <w:spacing w:before="120"/>
              <w:ind w:right="334" w:firstLine="357"/>
            </w:pPr>
            <w:bookmarkStart w:id="105" w:name="_Toc381007296"/>
            <w:bookmarkStart w:id="106" w:name="_Toc381008716"/>
            <w:r w:rsidRPr="00A97643">
              <w:t>Article 2</w:t>
            </w:r>
            <w:bookmarkEnd w:id="105"/>
            <w:bookmarkEnd w:id="106"/>
          </w:p>
          <w:p w:rsidR="00A720B1" w:rsidRPr="00A97643" w:rsidRDefault="00A720B1" w:rsidP="005433CE">
            <w:pPr>
              <w:pStyle w:val="afb"/>
              <w:tabs>
                <w:tab w:val="left" w:pos="639"/>
              </w:tabs>
              <w:autoSpaceDE w:val="0"/>
              <w:autoSpaceDN w:val="0"/>
              <w:adjustRightInd w:val="0"/>
              <w:spacing w:before="120"/>
              <w:ind w:left="540" w:right="334" w:firstLine="357"/>
            </w:pPr>
            <w:r w:rsidRPr="00A97643">
              <w:t>3.1 Does URBACT represent a plan or programme:</w:t>
            </w:r>
          </w:p>
          <w:p w:rsidR="00A720B1" w:rsidRPr="00A97643" w:rsidRDefault="005433CE" w:rsidP="005433CE">
            <w:pPr>
              <w:numPr>
                <w:ilvl w:val="0"/>
                <w:numId w:val="17"/>
              </w:numPr>
              <w:tabs>
                <w:tab w:val="clear" w:pos="720"/>
                <w:tab w:val="left" w:pos="923"/>
              </w:tabs>
              <w:spacing w:before="120"/>
              <w:ind w:left="1348" w:right="334" w:hanging="271"/>
              <w:jc w:val="both"/>
            </w:pPr>
            <w:r w:rsidRPr="00A97643">
              <w:t>Which</w:t>
            </w:r>
            <w:r w:rsidR="00A720B1" w:rsidRPr="00A97643">
              <w:t xml:space="preserve"> is subject to preparation and/or adoption by an authority at national, regional, or local level or which is prepared by an authority</w:t>
            </w:r>
            <w:r w:rsidRPr="00A97643">
              <w:t xml:space="preserve"> </w:t>
            </w:r>
            <w:r w:rsidR="00A720B1" w:rsidRPr="00A97643">
              <w:t>for adoption, through a legislative procedure by Parliament or Government?</w:t>
            </w:r>
          </w:p>
          <w:p w:rsidR="00A720B1" w:rsidRPr="00A97643" w:rsidRDefault="00A720B1" w:rsidP="003E696B">
            <w:pPr>
              <w:numPr>
                <w:ilvl w:val="0"/>
                <w:numId w:val="17"/>
              </w:numPr>
              <w:tabs>
                <w:tab w:val="clear" w:pos="720"/>
                <w:tab w:val="left" w:pos="923"/>
              </w:tabs>
              <w:spacing w:before="120"/>
              <w:ind w:left="1348" w:right="334" w:hanging="271"/>
              <w:jc w:val="both"/>
            </w:pPr>
            <w:r w:rsidRPr="00A97643">
              <w:t>which is required by legislative, regulatory or administrative</w:t>
            </w:r>
            <w:r w:rsidR="003E696B" w:rsidRPr="00A97643">
              <w:t xml:space="preserve"> </w:t>
            </w:r>
            <w:r w:rsidRPr="00A97643">
              <w:t>provisions?</w:t>
            </w:r>
          </w:p>
        </w:tc>
        <w:tc>
          <w:tcPr>
            <w:tcW w:w="992" w:type="dxa"/>
            <w:tcBorders>
              <w:top w:val="single" w:sz="4" w:space="0" w:color="auto"/>
              <w:left w:val="single" w:sz="4" w:space="0" w:color="auto"/>
              <w:bottom w:val="single" w:sz="4" w:space="0" w:color="auto"/>
              <w:right w:val="single" w:sz="4" w:space="0" w:color="auto"/>
            </w:tcBorders>
          </w:tcPr>
          <w:p w:rsidR="00A720B1" w:rsidRPr="00A97643" w:rsidRDefault="00A720B1" w:rsidP="005433CE">
            <w:pPr>
              <w:tabs>
                <w:tab w:val="num" w:pos="360"/>
                <w:tab w:val="left" w:pos="639"/>
              </w:tabs>
              <w:spacing w:before="120"/>
              <w:jc w:val="center"/>
            </w:pPr>
          </w:p>
          <w:p w:rsidR="00A720B1" w:rsidRPr="00A97643" w:rsidRDefault="00A720B1" w:rsidP="005433CE">
            <w:pPr>
              <w:tabs>
                <w:tab w:val="num" w:pos="360"/>
                <w:tab w:val="left" w:pos="639"/>
              </w:tabs>
              <w:spacing w:before="120"/>
              <w:jc w:val="center"/>
            </w:pPr>
          </w:p>
          <w:p w:rsidR="00A720B1" w:rsidRPr="00A97643" w:rsidRDefault="00A720B1" w:rsidP="005433CE">
            <w:pPr>
              <w:tabs>
                <w:tab w:val="num" w:pos="360"/>
                <w:tab w:val="left" w:pos="639"/>
              </w:tabs>
              <w:spacing w:before="120"/>
              <w:jc w:val="center"/>
            </w:pPr>
          </w:p>
          <w:p w:rsidR="00A720B1" w:rsidRPr="00A97643" w:rsidRDefault="00A720B1" w:rsidP="005433CE">
            <w:pPr>
              <w:tabs>
                <w:tab w:val="num" w:pos="360"/>
                <w:tab w:val="left" w:pos="639"/>
              </w:tabs>
              <w:spacing w:before="120"/>
              <w:jc w:val="center"/>
            </w:pPr>
          </w:p>
          <w:p w:rsidR="00A720B1" w:rsidRPr="00A97643" w:rsidRDefault="00A720B1" w:rsidP="005433CE">
            <w:pPr>
              <w:tabs>
                <w:tab w:val="num" w:pos="360"/>
                <w:tab w:val="left" w:pos="639"/>
              </w:tabs>
              <w:spacing w:before="120"/>
              <w:jc w:val="center"/>
            </w:pPr>
          </w:p>
          <w:p w:rsidR="00A720B1" w:rsidRPr="00A97643" w:rsidRDefault="00A720B1" w:rsidP="005433CE">
            <w:pPr>
              <w:tabs>
                <w:tab w:val="num" w:pos="360"/>
                <w:tab w:val="left" w:pos="639"/>
              </w:tabs>
              <w:spacing w:before="120"/>
              <w:jc w:val="center"/>
            </w:pPr>
            <w:r w:rsidRPr="00A97643">
              <w:t>Yes</w:t>
            </w:r>
          </w:p>
          <w:p w:rsidR="00A720B1" w:rsidRPr="00A97643" w:rsidRDefault="00A720B1" w:rsidP="005433CE">
            <w:pPr>
              <w:tabs>
                <w:tab w:val="num" w:pos="360"/>
                <w:tab w:val="left" w:pos="639"/>
              </w:tabs>
              <w:spacing w:before="120"/>
              <w:jc w:val="center"/>
            </w:pPr>
          </w:p>
        </w:tc>
      </w:tr>
      <w:tr w:rsidR="00A720B1" w:rsidRPr="00A97643" w:rsidTr="003E696B">
        <w:trPr>
          <w:gridAfter w:val="1"/>
          <w:wAfter w:w="142" w:type="dxa"/>
        </w:trPr>
        <w:tc>
          <w:tcPr>
            <w:tcW w:w="8647" w:type="dxa"/>
            <w:tcBorders>
              <w:top w:val="single" w:sz="4" w:space="0" w:color="auto"/>
              <w:left w:val="single" w:sz="4" w:space="0" w:color="auto"/>
              <w:bottom w:val="single" w:sz="4" w:space="0" w:color="auto"/>
              <w:right w:val="single" w:sz="4" w:space="0" w:color="auto"/>
            </w:tcBorders>
          </w:tcPr>
          <w:p w:rsidR="00A720B1" w:rsidRPr="00A97643" w:rsidRDefault="00A720B1" w:rsidP="005433CE">
            <w:pPr>
              <w:tabs>
                <w:tab w:val="left" w:pos="639"/>
              </w:tabs>
              <w:spacing w:before="120"/>
              <w:ind w:right="334" w:firstLine="357"/>
            </w:pPr>
          </w:p>
          <w:p w:rsidR="00A720B1" w:rsidRPr="00A97643" w:rsidRDefault="00A720B1" w:rsidP="005433CE">
            <w:pPr>
              <w:tabs>
                <w:tab w:val="left" w:pos="639"/>
              </w:tabs>
              <w:spacing w:before="120"/>
              <w:ind w:right="334" w:firstLine="357"/>
            </w:pPr>
            <w:r w:rsidRPr="00A97643">
              <w:t>Article 3 (2)</w:t>
            </w:r>
          </w:p>
          <w:p w:rsidR="00A720B1" w:rsidRPr="00A97643" w:rsidRDefault="00A720B1" w:rsidP="005433CE">
            <w:pPr>
              <w:tabs>
                <w:tab w:val="left" w:pos="639"/>
              </w:tabs>
              <w:spacing w:before="120"/>
              <w:ind w:right="334" w:firstLine="357"/>
            </w:pPr>
          </w:p>
          <w:p w:rsidR="00A720B1" w:rsidRPr="00A97643" w:rsidRDefault="00A720B1" w:rsidP="005433CE">
            <w:pPr>
              <w:pStyle w:val="afb"/>
              <w:tabs>
                <w:tab w:val="left" w:pos="1348"/>
              </w:tabs>
              <w:autoSpaceDE w:val="0"/>
              <w:autoSpaceDN w:val="0"/>
              <w:adjustRightInd w:val="0"/>
              <w:spacing w:before="120"/>
              <w:ind w:left="923" w:right="334"/>
            </w:pPr>
            <w:r w:rsidRPr="00A97643">
              <w:t>3.2 Does URBACT III set the framework for future development</w:t>
            </w:r>
            <w:r w:rsidR="005433CE" w:rsidRPr="00A97643">
              <w:t>?</w:t>
            </w:r>
            <w:r w:rsidRPr="00A97643">
              <w:t xml:space="preserve"> </w:t>
            </w:r>
            <w:r w:rsidR="0029014E" w:rsidRPr="00A97643">
              <w:t>Consent</w:t>
            </w:r>
            <w:r w:rsidRPr="00A97643">
              <w:t xml:space="preserve"> of </w:t>
            </w:r>
            <w:r w:rsidR="0029014E" w:rsidRPr="00A97643">
              <w:t>projects?</w:t>
            </w:r>
          </w:p>
          <w:p w:rsidR="00A720B1" w:rsidRPr="00A97643" w:rsidRDefault="00A720B1" w:rsidP="005433CE">
            <w:pPr>
              <w:spacing w:before="120"/>
              <w:ind w:left="923" w:right="334"/>
            </w:pPr>
            <w:r w:rsidRPr="00A97643">
              <w:t>Has the present Operational programme been prepared for agriculture, forestry, fisheries, energy, industry, transport, waste management, water management, telecommunications, tourism, town and country planning or land use; and</w:t>
            </w:r>
          </w:p>
          <w:p w:rsidR="00A720B1" w:rsidRPr="00A97643" w:rsidRDefault="00A720B1" w:rsidP="005433CE">
            <w:pPr>
              <w:spacing w:before="120"/>
              <w:ind w:left="923" w:right="334"/>
            </w:pPr>
            <w:r w:rsidRPr="00A97643">
              <w:t>Does the present Operational programme set the framework for future development consent of projects as listed in Annex I and II of Directive 85/337/EEC on Environmental Impact Assessment EIA?</w:t>
            </w:r>
          </w:p>
          <w:p w:rsidR="00A720B1" w:rsidRPr="00A97643" w:rsidRDefault="00A720B1" w:rsidP="005433CE">
            <w:pPr>
              <w:tabs>
                <w:tab w:val="left" w:pos="639"/>
              </w:tabs>
              <w:spacing w:before="120"/>
              <w:ind w:right="334" w:firstLine="357"/>
            </w:pPr>
          </w:p>
        </w:tc>
        <w:tc>
          <w:tcPr>
            <w:tcW w:w="992" w:type="dxa"/>
            <w:tcBorders>
              <w:top w:val="single" w:sz="4" w:space="0" w:color="auto"/>
              <w:left w:val="single" w:sz="4" w:space="0" w:color="auto"/>
              <w:bottom w:val="single" w:sz="4" w:space="0" w:color="auto"/>
              <w:right w:val="single" w:sz="4" w:space="0" w:color="auto"/>
            </w:tcBorders>
          </w:tcPr>
          <w:p w:rsidR="00A720B1" w:rsidRPr="00A97643" w:rsidRDefault="00A720B1" w:rsidP="005433CE">
            <w:pPr>
              <w:tabs>
                <w:tab w:val="num" w:pos="360"/>
                <w:tab w:val="left" w:pos="639"/>
              </w:tabs>
              <w:spacing w:before="120"/>
              <w:jc w:val="center"/>
            </w:pPr>
          </w:p>
          <w:p w:rsidR="00A720B1" w:rsidRPr="00A97643" w:rsidRDefault="00A720B1" w:rsidP="005433CE">
            <w:pPr>
              <w:tabs>
                <w:tab w:val="num" w:pos="360"/>
                <w:tab w:val="left" w:pos="639"/>
              </w:tabs>
              <w:spacing w:before="120"/>
              <w:jc w:val="center"/>
            </w:pPr>
          </w:p>
          <w:p w:rsidR="00A720B1" w:rsidRPr="00A97643" w:rsidRDefault="00A720B1" w:rsidP="005433CE">
            <w:pPr>
              <w:tabs>
                <w:tab w:val="num" w:pos="360"/>
                <w:tab w:val="left" w:pos="639"/>
              </w:tabs>
              <w:spacing w:before="120"/>
              <w:jc w:val="center"/>
            </w:pPr>
          </w:p>
          <w:p w:rsidR="00A720B1" w:rsidRPr="00A97643" w:rsidRDefault="00A720B1" w:rsidP="005433CE">
            <w:pPr>
              <w:tabs>
                <w:tab w:val="num" w:pos="360"/>
                <w:tab w:val="left" w:pos="639"/>
              </w:tabs>
              <w:spacing w:before="120"/>
              <w:jc w:val="center"/>
            </w:pPr>
          </w:p>
          <w:p w:rsidR="00A720B1" w:rsidRPr="00A97643" w:rsidRDefault="00A720B1" w:rsidP="005433CE">
            <w:pPr>
              <w:tabs>
                <w:tab w:val="num" w:pos="360"/>
                <w:tab w:val="left" w:pos="639"/>
              </w:tabs>
              <w:spacing w:before="120"/>
              <w:jc w:val="center"/>
            </w:pPr>
          </w:p>
          <w:p w:rsidR="00A720B1" w:rsidRPr="00A97643" w:rsidRDefault="00A720B1" w:rsidP="005433CE">
            <w:pPr>
              <w:tabs>
                <w:tab w:val="num" w:pos="360"/>
                <w:tab w:val="left" w:pos="639"/>
              </w:tabs>
              <w:spacing w:before="120"/>
              <w:jc w:val="center"/>
            </w:pPr>
          </w:p>
          <w:p w:rsidR="00A720B1" w:rsidRPr="00A97643" w:rsidRDefault="00A720B1" w:rsidP="005433CE">
            <w:pPr>
              <w:tabs>
                <w:tab w:val="num" w:pos="360"/>
                <w:tab w:val="left" w:pos="639"/>
              </w:tabs>
              <w:spacing w:before="120"/>
              <w:jc w:val="center"/>
            </w:pPr>
            <w:r w:rsidRPr="00A97643">
              <w:t>No</w:t>
            </w:r>
          </w:p>
          <w:p w:rsidR="00A720B1" w:rsidRPr="00A97643" w:rsidRDefault="00A720B1" w:rsidP="005433CE">
            <w:pPr>
              <w:tabs>
                <w:tab w:val="num" w:pos="360"/>
                <w:tab w:val="left" w:pos="639"/>
              </w:tabs>
              <w:spacing w:before="120"/>
              <w:jc w:val="center"/>
            </w:pPr>
          </w:p>
          <w:p w:rsidR="00A720B1" w:rsidRPr="00A97643" w:rsidRDefault="00A720B1" w:rsidP="005433CE">
            <w:pPr>
              <w:tabs>
                <w:tab w:val="num" w:pos="360"/>
                <w:tab w:val="left" w:pos="639"/>
              </w:tabs>
              <w:spacing w:before="120"/>
              <w:jc w:val="center"/>
            </w:pPr>
          </w:p>
          <w:p w:rsidR="00A720B1" w:rsidRPr="00A97643" w:rsidRDefault="00A720B1" w:rsidP="005433CE">
            <w:pPr>
              <w:tabs>
                <w:tab w:val="num" w:pos="360"/>
                <w:tab w:val="left" w:pos="639"/>
              </w:tabs>
              <w:spacing w:before="120"/>
              <w:jc w:val="center"/>
            </w:pPr>
          </w:p>
          <w:p w:rsidR="00A720B1" w:rsidRPr="00A97643" w:rsidRDefault="00A720B1" w:rsidP="005433CE">
            <w:pPr>
              <w:tabs>
                <w:tab w:val="num" w:pos="360"/>
                <w:tab w:val="left" w:pos="639"/>
              </w:tabs>
              <w:spacing w:before="120"/>
              <w:jc w:val="center"/>
            </w:pPr>
            <w:r w:rsidRPr="00A97643">
              <w:t>No</w:t>
            </w:r>
          </w:p>
        </w:tc>
      </w:tr>
      <w:tr w:rsidR="00A720B1" w:rsidRPr="00A97643" w:rsidTr="003E696B">
        <w:tc>
          <w:tcPr>
            <w:tcW w:w="8647" w:type="dxa"/>
            <w:tcBorders>
              <w:top w:val="single" w:sz="4" w:space="0" w:color="auto"/>
              <w:left w:val="single" w:sz="4" w:space="0" w:color="auto"/>
              <w:bottom w:val="single" w:sz="4" w:space="0" w:color="auto"/>
              <w:right w:val="single" w:sz="4" w:space="0" w:color="auto"/>
            </w:tcBorders>
          </w:tcPr>
          <w:p w:rsidR="00A720B1" w:rsidRPr="00A97643" w:rsidRDefault="00A720B1" w:rsidP="005433CE">
            <w:pPr>
              <w:tabs>
                <w:tab w:val="left" w:pos="639"/>
              </w:tabs>
              <w:spacing w:before="120"/>
              <w:ind w:right="334" w:firstLine="357"/>
            </w:pPr>
            <w:bookmarkStart w:id="107" w:name="_Toc381007297"/>
            <w:bookmarkStart w:id="108" w:name="_Toc381008717"/>
            <w:r w:rsidRPr="00A97643">
              <w:t>Article 2</w:t>
            </w:r>
            <w:bookmarkEnd w:id="107"/>
            <w:bookmarkEnd w:id="108"/>
          </w:p>
          <w:p w:rsidR="00A720B1" w:rsidRPr="00A97643" w:rsidRDefault="00A720B1" w:rsidP="005433CE">
            <w:pPr>
              <w:pStyle w:val="afb"/>
              <w:tabs>
                <w:tab w:val="left" w:pos="1348"/>
              </w:tabs>
              <w:autoSpaceDE w:val="0"/>
              <w:autoSpaceDN w:val="0"/>
              <w:adjustRightInd w:val="0"/>
              <w:spacing w:before="120"/>
              <w:ind w:left="923" w:right="334"/>
            </w:pPr>
            <w:r w:rsidRPr="00A97643">
              <w:t>3.3 Does URBACT III, in view with a potential effect on sites, require an assessment under Article 6 and 7 of the Directive 92/43/</w:t>
            </w:r>
            <w:r w:rsidR="0029014E" w:rsidRPr="00A97643">
              <w:t>EEC?</w:t>
            </w:r>
          </w:p>
          <w:p w:rsidR="00A720B1" w:rsidRPr="00A97643" w:rsidRDefault="00A720B1" w:rsidP="005433CE">
            <w:pPr>
              <w:tabs>
                <w:tab w:val="num" w:pos="360"/>
                <w:tab w:val="left" w:pos="639"/>
              </w:tabs>
              <w:spacing w:before="120"/>
              <w:ind w:right="334" w:firstLine="357"/>
              <w:jc w:val="both"/>
            </w:pPr>
          </w:p>
        </w:tc>
        <w:tc>
          <w:tcPr>
            <w:tcW w:w="1134" w:type="dxa"/>
            <w:gridSpan w:val="2"/>
            <w:tcBorders>
              <w:top w:val="single" w:sz="4" w:space="0" w:color="auto"/>
              <w:left w:val="single" w:sz="4" w:space="0" w:color="auto"/>
              <w:bottom w:val="single" w:sz="4" w:space="0" w:color="auto"/>
              <w:right w:val="single" w:sz="4" w:space="0" w:color="auto"/>
            </w:tcBorders>
          </w:tcPr>
          <w:p w:rsidR="00A720B1" w:rsidRPr="00A97643" w:rsidRDefault="00A720B1" w:rsidP="005433CE">
            <w:pPr>
              <w:tabs>
                <w:tab w:val="num" w:pos="360"/>
                <w:tab w:val="left" w:pos="639"/>
              </w:tabs>
              <w:spacing w:before="120"/>
              <w:jc w:val="center"/>
            </w:pPr>
          </w:p>
          <w:p w:rsidR="00A720B1" w:rsidRPr="00A97643" w:rsidRDefault="00A720B1" w:rsidP="005433CE">
            <w:pPr>
              <w:tabs>
                <w:tab w:val="num" w:pos="360"/>
                <w:tab w:val="left" w:pos="639"/>
              </w:tabs>
              <w:spacing w:before="120"/>
              <w:jc w:val="center"/>
            </w:pPr>
            <w:r w:rsidRPr="00A97643">
              <w:t>No</w:t>
            </w:r>
          </w:p>
        </w:tc>
      </w:tr>
      <w:tr w:rsidR="00A720B1" w:rsidRPr="00A97643" w:rsidTr="003E696B">
        <w:trPr>
          <w:trHeight w:val="2428"/>
        </w:trPr>
        <w:tc>
          <w:tcPr>
            <w:tcW w:w="8647" w:type="dxa"/>
            <w:tcBorders>
              <w:top w:val="single" w:sz="4" w:space="0" w:color="auto"/>
              <w:left w:val="single" w:sz="4" w:space="0" w:color="auto"/>
              <w:bottom w:val="single" w:sz="4" w:space="0" w:color="auto"/>
              <w:right w:val="single" w:sz="4" w:space="0" w:color="auto"/>
            </w:tcBorders>
          </w:tcPr>
          <w:p w:rsidR="00A720B1" w:rsidRPr="00A97643" w:rsidRDefault="00A720B1" w:rsidP="005433CE">
            <w:pPr>
              <w:tabs>
                <w:tab w:val="left" w:pos="639"/>
              </w:tabs>
              <w:spacing w:before="120"/>
              <w:ind w:right="334" w:firstLine="357"/>
            </w:pPr>
            <w:r w:rsidRPr="00A97643">
              <w:t>Article 3 (4)</w:t>
            </w:r>
          </w:p>
          <w:p w:rsidR="00A720B1" w:rsidRPr="00A97643" w:rsidRDefault="00A720B1" w:rsidP="005433CE">
            <w:pPr>
              <w:pStyle w:val="afb"/>
              <w:tabs>
                <w:tab w:val="left" w:pos="1348"/>
              </w:tabs>
              <w:autoSpaceDE w:val="0"/>
              <w:autoSpaceDN w:val="0"/>
              <w:adjustRightInd w:val="0"/>
              <w:spacing w:before="120"/>
              <w:ind w:left="923" w:right="334"/>
            </w:pPr>
            <w:r w:rsidRPr="00A97643">
              <w:t>3.4 Is URBACT III likely to have significant environmental effects?</w:t>
            </w:r>
          </w:p>
          <w:p w:rsidR="00A720B1" w:rsidRPr="00A97643" w:rsidRDefault="00A720B1" w:rsidP="005433CE">
            <w:pPr>
              <w:numPr>
                <w:ilvl w:val="0"/>
                <w:numId w:val="17"/>
              </w:numPr>
              <w:tabs>
                <w:tab w:val="clear" w:pos="720"/>
                <w:tab w:val="left" w:pos="923"/>
              </w:tabs>
              <w:spacing w:before="120"/>
              <w:ind w:left="1348" w:right="334" w:hanging="271"/>
              <w:jc w:val="both"/>
            </w:pPr>
            <w:r w:rsidRPr="00A97643">
              <w:t>Does URBACT III set the framework for future development consent of projects other than those under the EIA Directive?</w:t>
            </w:r>
          </w:p>
          <w:p w:rsidR="00A720B1" w:rsidRPr="00A97643" w:rsidRDefault="00A720B1" w:rsidP="005433CE">
            <w:pPr>
              <w:numPr>
                <w:ilvl w:val="0"/>
                <w:numId w:val="17"/>
              </w:numPr>
              <w:tabs>
                <w:tab w:val="clear" w:pos="720"/>
                <w:tab w:val="left" w:pos="923"/>
              </w:tabs>
              <w:spacing w:before="120"/>
              <w:ind w:left="1348" w:right="334" w:hanging="271"/>
              <w:jc w:val="both"/>
            </w:pPr>
            <w:r w:rsidRPr="00A97643">
              <w:t>Is URBACT III likely to have a significant environmental effect?</w:t>
            </w:r>
          </w:p>
        </w:tc>
        <w:tc>
          <w:tcPr>
            <w:tcW w:w="1134" w:type="dxa"/>
            <w:gridSpan w:val="2"/>
            <w:tcBorders>
              <w:top w:val="single" w:sz="4" w:space="0" w:color="auto"/>
              <w:left w:val="single" w:sz="4" w:space="0" w:color="auto"/>
              <w:bottom w:val="single" w:sz="4" w:space="0" w:color="auto"/>
              <w:right w:val="single" w:sz="4" w:space="0" w:color="auto"/>
            </w:tcBorders>
          </w:tcPr>
          <w:p w:rsidR="00A720B1" w:rsidRPr="00A97643" w:rsidRDefault="00A720B1" w:rsidP="005433CE">
            <w:pPr>
              <w:tabs>
                <w:tab w:val="num" w:pos="360"/>
                <w:tab w:val="left" w:pos="639"/>
              </w:tabs>
              <w:spacing w:before="120"/>
              <w:jc w:val="center"/>
            </w:pPr>
          </w:p>
          <w:p w:rsidR="00A720B1" w:rsidRPr="00A97643" w:rsidRDefault="00A720B1" w:rsidP="005433CE">
            <w:pPr>
              <w:tabs>
                <w:tab w:val="num" w:pos="360"/>
                <w:tab w:val="left" w:pos="639"/>
              </w:tabs>
              <w:spacing w:before="120"/>
              <w:jc w:val="center"/>
            </w:pPr>
          </w:p>
          <w:p w:rsidR="00A720B1" w:rsidRPr="00A97643" w:rsidRDefault="00A720B1" w:rsidP="005433CE">
            <w:pPr>
              <w:tabs>
                <w:tab w:val="num" w:pos="360"/>
                <w:tab w:val="left" w:pos="639"/>
              </w:tabs>
              <w:spacing w:before="120"/>
              <w:jc w:val="center"/>
            </w:pPr>
          </w:p>
          <w:p w:rsidR="00A720B1" w:rsidRPr="00A97643" w:rsidRDefault="00A720B1" w:rsidP="005433CE">
            <w:pPr>
              <w:tabs>
                <w:tab w:val="num" w:pos="360"/>
                <w:tab w:val="left" w:pos="639"/>
              </w:tabs>
              <w:spacing w:before="120"/>
              <w:jc w:val="center"/>
            </w:pPr>
            <w:r w:rsidRPr="00A97643">
              <w:t>No</w:t>
            </w:r>
          </w:p>
          <w:p w:rsidR="00A720B1" w:rsidRPr="00A97643" w:rsidRDefault="00A720B1" w:rsidP="005433CE">
            <w:pPr>
              <w:tabs>
                <w:tab w:val="num" w:pos="360"/>
                <w:tab w:val="left" w:pos="639"/>
              </w:tabs>
              <w:spacing w:before="120"/>
              <w:jc w:val="center"/>
            </w:pPr>
          </w:p>
          <w:p w:rsidR="00A720B1" w:rsidRPr="00A97643" w:rsidRDefault="00A720B1" w:rsidP="005433CE">
            <w:pPr>
              <w:tabs>
                <w:tab w:val="num" w:pos="360"/>
                <w:tab w:val="left" w:pos="639"/>
              </w:tabs>
              <w:spacing w:before="120"/>
              <w:jc w:val="center"/>
            </w:pPr>
            <w:r w:rsidRPr="00A97643">
              <w:t>Unlikely</w:t>
            </w:r>
          </w:p>
        </w:tc>
      </w:tr>
    </w:tbl>
    <w:p w:rsidR="00A720B1" w:rsidRPr="00A97643" w:rsidRDefault="00A720B1" w:rsidP="00A720B1">
      <w:pPr>
        <w:tabs>
          <w:tab w:val="num" w:pos="360"/>
        </w:tabs>
        <w:spacing w:before="60"/>
        <w:jc w:val="both"/>
      </w:pPr>
      <w:r w:rsidRPr="00A97643">
        <w:t xml:space="preserve"> </w:t>
      </w:r>
    </w:p>
    <w:p w:rsidR="00A720B1" w:rsidRPr="00A97643" w:rsidRDefault="00A720B1" w:rsidP="0012573C">
      <w:pPr>
        <w:pStyle w:val="afb"/>
        <w:autoSpaceDE w:val="0"/>
        <w:autoSpaceDN w:val="0"/>
        <w:adjustRightInd w:val="0"/>
        <w:spacing w:before="60"/>
        <w:ind w:left="360"/>
        <w:jc w:val="both"/>
      </w:pPr>
      <w:r w:rsidRPr="00A97643">
        <w:t>Consequently, the Managing authority concludes that a detailed strategic environmental assessment in accordance with the SEA Directive is not required.</w:t>
      </w:r>
    </w:p>
    <w:p w:rsidR="003E696B" w:rsidRPr="00A97643" w:rsidRDefault="003E696B">
      <w:r w:rsidRPr="00A97643">
        <w:br w:type="page"/>
      </w:r>
    </w:p>
    <w:p w:rsidR="00A720B1" w:rsidRPr="00A97643" w:rsidRDefault="00A720B1" w:rsidP="00A720B1">
      <w:pPr>
        <w:tabs>
          <w:tab w:val="num" w:pos="360"/>
        </w:tabs>
        <w:spacing w:before="60"/>
        <w:jc w:val="both"/>
      </w:pPr>
    </w:p>
    <w:p w:rsidR="00A720B1" w:rsidRPr="00A97643" w:rsidRDefault="00A720B1" w:rsidP="00D67ECF">
      <w:pPr>
        <w:numPr>
          <w:ilvl w:val="1"/>
          <w:numId w:val="15"/>
        </w:numPr>
        <w:spacing w:after="180" w:line="276" w:lineRule="auto"/>
        <w:jc w:val="both"/>
      </w:pPr>
      <w:r w:rsidRPr="00A97643">
        <w:t>Next steps</w:t>
      </w:r>
    </w:p>
    <w:p w:rsidR="00A720B1" w:rsidRPr="00A97643" w:rsidRDefault="00A720B1" w:rsidP="00D67ECF">
      <w:pPr>
        <w:tabs>
          <w:tab w:val="num" w:pos="360"/>
        </w:tabs>
        <w:spacing w:after="180" w:line="276" w:lineRule="auto"/>
        <w:ind w:left="360"/>
        <w:jc w:val="both"/>
      </w:pPr>
      <w:r w:rsidRPr="00A97643">
        <w:t>The Managing Authority submits to the Member States (as authorities designated under Article 6(3) of the SEA Directive for comments in accordance with Article 3 (6) of the Directive) the present examination report accompanied by its decision that a detailed strategic environmental assessment in accordance with the SEA Directive is not required.</w:t>
      </w:r>
    </w:p>
    <w:p w:rsidR="000863E6" w:rsidRPr="00A97643" w:rsidRDefault="000863E6" w:rsidP="000863E6">
      <w:bookmarkStart w:id="109" w:name="_Toc381007298"/>
      <w:bookmarkStart w:id="110" w:name="_Toc381008718"/>
    </w:p>
    <w:p w:rsidR="00A720B1" w:rsidRPr="00A97643" w:rsidRDefault="00A720B1" w:rsidP="000863E6">
      <w:r w:rsidRPr="00A97643">
        <w:t>ANNEX</w:t>
      </w:r>
      <w:bookmarkEnd w:id="109"/>
      <w:bookmarkEnd w:id="110"/>
      <w:r w:rsidR="008F345F" w:rsidRPr="00A97643">
        <w:t>E</w:t>
      </w:r>
    </w:p>
    <w:p w:rsidR="00A720B1" w:rsidRPr="00A97643" w:rsidRDefault="00A720B1" w:rsidP="00D67ECF">
      <w:pPr>
        <w:tabs>
          <w:tab w:val="num" w:pos="360"/>
        </w:tabs>
        <w:spacing w:after="180" w:line="276" w:lineRule="auto"/>
        <w:ind w:left="360"/>
        <w:jc w:val="both"/>
      </w:pPr>
      <w:r w:rsidRPr="00A97643">
        <w:t>Detailed assessment of URBACT III against criteria for determining the likely significance of environmental effects referred to in Article 3(5) of the SEA Directive</w:t>
      </w:r>
    </w:p>
    <w:p w:rsidR="00A720B1" w:rsidRPr="00A97643" w:rsidRDefault="00A720B1" w:rsidP="00D67ECF">
      <w:pPr>
        <w:numPr>
          <w:ilvl w:val="0"/>
          <w:numId w:val="19"/>
        </w:numPr>
        <w:spacing w:after="180" w:line="276" w:lineRule="auto"/>
        <w:jc w:val="both"/>
      </w:pPr>
      <w:r w:rsidRPr="00A97643">
        <w:t>Characteristics of URBACT III, having regard, in particular, to: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73"/>
        <w:gridCol w:w="4798"/>
        <w:gridCol w:w="1481"/>
      </w:tblGrid>
      <w:tr w:rsidR="00A720B1" w:rsidRPr="00A97643" w:rsidTr="00D136EA">
        <w:tc>
          <w:tcPr>
            <w:tcW w:w="2573"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pStyle w:val="4"/>
              <w:ind w:left="633" w:hanging="567"/>
              <w:jc w:val="left"/>
            </w:pPr>
            <w:r w:rsidRPr="00A97643">
              <w:t>Annex II/1 Criteria</w:t>
            </w:r>
          </w:p>
        </w:tc>
        <w:tc>
          <w:tcPr>
            <w:tcW w:w="4798"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jc w:val="center"/>
            </w:pPr>
            <w:r w:rsidRPr="00A97643">
              <w:t>Comments</w:t>
            </w:r>
          </w:p>
        </w:tc>
        <w:tc>
          <w:tcPr>
            <w:tcW w:w="1481"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jc w:val="center"/>
            </w:pPr>
            <w:r w:rsidRPr="00A97643">
              <w:t>Assessment</w:t>
            </w:r>
          </w:p>
        </w:tc>
      </w:tr>
      <w:tr w:rsidR="00A720B1" w:rsidRPr="00A97643" w:rsidTr="00D136EA">
        <w:tc>
          <w:tcPr>
            <w:tcW w:w="2573"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jc w:val="both"/>
            </w:pPr>
            <w:r w:rsidRPr="00A97643">
              <w:t xml:space="preserve">The degree to which </w:t>
            </w:r>
          </w:p>
          <w:p w:rsidR="00A720B1" w:rsidRPr="00A97643" w:rsidRDefault="00A720B1" w:rsidP="00A720B1">
            <w:pPr>
              <w:spacing w:before="60"/>
            </w:pPr>
            <w:r w:rsidRPr="00A97643">
              <w:t xml:space="preserve">URBACT III sets </w:t>
            </w:r>
          </w:p>
          <w:p w:rsidR="00A720B1" w:rsidRPr="00A97643" w:rsidRDefault="00A720B1" w:rsidP="00A720B1">
            <w:pPr>
              <w:spacing w:before="60"/>
            </w:pPr>
            <w:r w:rsidRPr="00A97643">
              <w:t>a framework for projects</w:t>
            </w:r>
          </w:p>
          <w:p w:rsidR="00A720B1" w:rsidRPr="00A97643" w:rsidRDefault="00A720B1" w:rsidP="00A720B1">
            <w:pPr>
              <w:spacing w:before="60"/>
            </w:pPr>
            <w:r w:rsidRPr="00A97643">
              <w:t xml:space="preserve">and other activities, </w:t>
            </w:r>
          </w:p>
          <w:p w:rsidR="00A720B1" w:rsidRPr="00A97643" w:rsidRDefault="00A720B1" w:rsidP="00A720B1">
            <w:pPr>
              <w:spacing w:before="60"/>
            </w:pPr>
            <w:r w:rsidRPr="00A97643">
              <w:t>either with regard to</w:t>
            </w:r>
          </w:p>
          <w:p w:rsidR="00A720B1" w:rsidRPr="00A97643" w:rsidRDefault="00A720B1" w:rsidP="00A720B1">
            <w:pPr>
              <w:spacing w:before="60"/>
            </w:pPr>
            <w:r w:rsidRPr="00A97643">
              <w:t>the location, nature,</w:t>
            </w:r>
          </w:p>
          <w:p w:rsidR="00A720B1" w:rsidRPr="00A97643" w:rsidRDefault="00A720B1" w:rsidP="00A720B1">
            <w:pPr>
              <w:spacing w:before="60"/>
            </w:pPr>
            <w:r w:rsidRPr="00A97643">
              <w:t>size and operating</w:t>
            </w:r>
          </w:p>
          <w:p w:rsidR="00A720B1" w:rsidRPr="00A97643" w:rsidRDefault="00A720B1" w:rsidP="00A720B1">
            <w:pPr>
              <w:spacing w:before="60"/>
            </w:pPr>
            <w:r w:rsidRPr="00A97643">
              <w:t>conditions or by</w:t>
            </w:r>
          </w:p>
          <w:p w:rsidR="00A720B1" w:rsidRPr="00A97643" w:rsidRDefault="00A720B1" w:rsidP="00A720B1">
            <w:pPr>
              <w:spacing w:before="60"/>
            </w:pPr>
            <w:r w:rsidRPr="00A97643">
              <w:t>allocating resources.</w:t>
            </w:r>
          </w:p>
          <w:p w:rsidR="00A720B1" w:rsidRPr="00A97643" w:rsidRDefault="00A720B1" w:rsidP="00A720B1">
            <w:pPr>
              <w:spacing w:before="60"/>
              <w:jc w:val="both"/>
            </w:pPr>
          </w:p>
        </w:tc>
        <w:tc>
          <w:tcPr>
            <w:tcW w:w="4798"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jc w:val="both"/>
            </w:pPr>
            <w:r w:rsidRPr="00A97643">
              <w:t>The URBACT III Draft Operational programme does not set a framework for exchange operations in the strict sense of the given criteria, as it has no direct impact in relation to location, nature, size and operating conditions and does not allocate natural resources.</w:t>
            </w:r>
          </w:p>
        </w:tc>
        <w:tc>
          <w:tcPr>
            <w:tcW w:w="1481"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pPr>
            <w:r w:rsidRPr="00A97643">
              <w:t xml:space="preserve">No direct </w:t>
            </w:r>
          </w:p>
          <w:p w:rsidR="00A720B1" w:rsidRPr="00A97643" w:rsidRDefault="00A720B1" w:rsidP="00A720B1">
            <w:pPr>
              <w:spacing w:before="60"/>
            </w:pPr>
            <w:r w:rsidRPr="00A97643">
              <w:t>impact</w:t>
            </w:r>
          </w:p>
        </w:tc>
      </w:tr>
      <w:tr w:rsidR="00A720B1" w:rsidRPr="00A97643" w:rsidTr="00D136EA">
        <w:tc>
          <w:tcPr>
            <w:tcW w:w="2573"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jc w:val="both"/>
            </w:pPr>
            <w:r w:rsidRPr="00A97643">
              <w:t xml:space="preserve">The degree to which </w:t>
            </w:r>
          </w:p>
          <w:p w:rsidR="00A720B1" w:rsidRPr="00A97643" w:rsidRDefault="00A720B1" w:rsidP="00A720B1">
            <w:pPr>
              <w:spacing w:before="60"/>
              <w:jc w:val="both"/>
            </w:pPr>
            <w:r w:rsidRPr="00A97643">
              <w:t>URBACT III</w:t>
            </w:r>
          </w:p>
          <w:p w:rsidR="00A720B1" w:rsidRPr="00A97643" w:rsidRDefault="00A720B1" w:rsidP="00A720B1">
            <w:pPr>
              <w:spacing w:before="60"/>
              <w:jc w:val="both"/>
            </w:pPr>
            <w:r w:rsidRPr="00A97643">
              <w:t>influences other plans</w:t>
            </w:r>
          </w:p>
          <w:p w:rsidR="00A720B1" w:rsidRPr="00A97643" w:rsidRDefault="00A720B1" w:rsidP="00A720B1">
            <w:pPr>
              <w:spacing w:before="60"/>
              <w:jc w:val="both"/>
            </w:pPr>
            <w:r w:rsidRPr="00A97643">
              <w:t>and programmes</w:t>
            </w:r>
          </w:p>
          <w:p w:rsidR="00A720B1" w:rsidRPr="00A97643" w:rsidRDefault="00A720B1" w:rsidP="00A720B1">
            <w:pPr>
              <w:spacing w:before="60"/>
              <w:jc w:val="both"/>
            </w:pPr>
            <w:r w:rsidRPr="00A97643">
              <w:t xml:space="preserve">including those in a </w:t>
            </w:r>
          </w:p>
          <w:p w:rsidR="00A720B1" w:rsidRPr="00A97643" w:rsidRDefault="00A720B1" w:rsidP="00A720B1">
            <w:pPr>
              <w:spacing w:before="60"/>
              <w:jc w:val="both"/>
            </w:pPr>
            <w:r w:rsidRPr="00A97643">
              <w:t>hierarchy</w:t>
            </w:r>
          </w:p>
        </w:tc>
        <w:tc>
          <w:tcPr>
            <w:tcW w:w="4798"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jc w:val="both"/>
            </w:pPr>
            <w:r w:rsidRPr="00A97643">
              <w:t>The URBACT III Draft Operational programme aims to develop exchanges among city policy makers and practitioners and disseminate standardized information.</w:t>
            </w:r>
          </w:p>
          <w:p w:rsidR="00A720B1" w:rsidRPr="00A97643" w:rsidRDefault="00A720B1" w:rsidP="00A720B1">
            <w:pPr>
              <w:spacing w:before="60"/>
              <w:jc w:val="both"/>
            </w:pPr>
            <w:r w:rsidRPr="00A97643">
              <w:t xml:space="preserve">It may influence Regional Operational Programmes towards a more sustainable urban development. </w:t>
            </w:r>
          </w:p>
        </w:tc>
        <w:tc>
          <w:tcPr>
            <w:tcW w:w="1481"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pPr>
            <w:r w:rsidRPr="00A97643">
              <w:t xml:space="preserve">Low direct </w:t>
            </w:r>
          </w:p>
          <w:p w:rsidR="00A720B1" w:rsidRPr="00A97643" w:rsidRDefault="00A720B1" w:rsidP="00A720B1">
            <w:pPr>
              <w:spacing w:before="60"/>
            </w:pPr>
            <w:r w:rsidRPr="00A97643">
              <w:t>impact</w:t>
            </w:r>
          </w:p>
          <w:p w:rsidR="00A720B1" w:rsidRPr="00A97643" w:rsidRDefault="00A720B1" w:rsidP="00A720B1">
            <w:pPr>
              <w:spacing w:before="60"/>
            </w:pPr>
          </w:p>
          <w:p w:rsidR="00A720B1" w:rsidRPr="00A97643" w:rsidRDefault="00A720B1" w:rsidP="00A720B1">
            <w:pPr>
              <w:spacing w:before="60"/>
            </w:pPr>
            <w:r w:rsidRPr="00A97643">
              <w:t xml:space="preserve">Degree of </w:t>
            </w:r>
          </w:p>
          <w:p w:rsidR="00A720B1" w:rsidRPr="00A97643" w:rsidRDefault="00A720B1" w:rsidP="00A720B1">
            <w:pPr>
              <w:spacing w:before="60"/>
            </w:pPr>
            <w:r w:rsidRPr="00A97643">
              <w:t>influence</w:t>
            </w:r>
          </w:p>
          <w:p w:rsidR="00A720B1" w:rsidRPr="00A97643" w:rsidRDefault="00A720B1" w:rsidP="00A720B1">
            <w:pPr>
              <w:spacing w:before="60"/>
            </w:pPr>
            <w:r w:rsidRPr="00A97643">
              <w:t>cannot be</w:t>
            </w:r>
          </w:p>
          <w:p w:rsidR="00A720B1" w:rsidRPr="00A97643" w:rsidRDefault="00A720B1" w:rsidP="00A720B1">
            <w:pPr>
              <w:spacing w:before="60"/>
            </w:pPr>
            <w:r w:rsidRPr="00A97643">
              <w:t>determined at this stage</w:t>
            </w:r>
          </w:p>
        </w:tc>
      </w:tr>
      <w:tr w:rsidR="00A720B1" w:rsidRPr="00A97643" w:rsidTr="00D136EA">
        <w:tc>
          <w:tcPr>
            <w:tcW w:w="2573"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jc w:val="both"/>
            </w:pPr>
            <w:r w:rsidRPr="00A97643">
              <w:t xml:space="preserve">The relevance of </w:t>
            </w:r>
          </w:p>
          <w:p w:rsidR="00A720B1" w:rsidRPr="00A97643" w:rsidRDefault="00A720B1" w:rsidP="00A720B1">
            <w:pPr>
              <w:spacing w:before="60"/>
            </w:pPr>
            <w:r w:rsidRPr="00A97643">
              <w:t xml:space="preserve">URBACT III </w:t>
            </w:r>
          </w:p>
          <w:p w:rsidR="00A720B1" w:rsidRPr="00A97643" w:rsidRDefault="00A720B1" w:rsidP="00A720B1">
            <w:pPr>
              <w:spacing w:before="60"/>
            </w:pPr>
            <w:r w:rsidRPr="00A97643">
              <w:t xml:space="preserve">for the integration of </w:t>
            </w:r>
          </w:p>
          <w:p w:rsidR="00A720B1" w:rsidRPr="00A97643" w:rsidRDefault="00A720B1" w:rsidP="00A720B1">
            <w:pPr>
              <w:spacing w:before="60"/>
            </w:pPr>
            <w:r w:rsidRPr="00A97643">
              <w:t>environmental</w:t>
            </w:r>
          </w:p>
          <w:p w:rsidR="00A720B1" w:rsidRPr="00A97643" w:rsidRDefault="00A720B1" w:rsidP="00A720B1">
            <w:pPr>
              <w:spacing w:before="60"/>
            </w:pPr>
            <w:r w:rsidRPr="00A97643">
              <w:t>considerations in particular with promoting sustainable</w:t>
            </w:r>
          </w:p>
          <w:p w:rsidR="00A720B1" w:rsidRPr="00A97643" w:rsidRDefault="00A720B1" w:rsidP="00A720B1">
            <w:pPr>
              <w:spacing w:before="60"/>
            </w:pPr>
            <w:r w:rsidRPr="00A97643">
              <w:t>development</w:t>
            </w:r>
          </w:p>
        </w:tc>
        <w:tc>
          <w:tcPr>
            <w:tcW w:w="4798"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jc w:val="both"/>
            </w:pPr>
            <w:r w:rsidRPr="00A97643">
              <w:t>Promoting urban integrated and sustainable development is a major aim of URBACT III</w:t>
            </w:r>
          </w:p>
          <w:p w:rsidR="00A720B1" w:rsidRPr="00A97643" w:rsidRDefault="00A720B1" w:rsidP="00A720B1">
            <w:pPr>
              <w:spacing w:before="60"/>
              <w:jc w:val="both"/>
            </w:pPr>
            <w:r w:rsidRPr="00A97643">
              <w:t xml:space="preserve"> </w:t>
            </w:r>
          </w:p>
        </w:tc>
        <w:tc>
          <w:tcPr>
            <w:tcW w:w="1481"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pPr>
            <w:r w:rsidRPr="00A97643">
              <w:t xml:space="preserve">Low direct </w:t>
            </w:r>
          </w:p>
          <w:p w:rsidR="00A720B1" w:rsidRPr="00A97643" w:rsidRDefault="00A720B1" w:rsidP="00A720B1">
            <w:pPr>
              <w:spacing w:before="60"/>
            </w:pPr>
            <w:r w:rsidRPr="00A97643">
              <w:t>impact</w:t>
            </w:r>
          </w:p>
          <w:p w:rsidR="00A720B1" w:rsidRPr="00A97643" w:rsidRDefault="00A720B1" w:rsidP="00A720B1">
            <w:pPr>
              <w:spacing w:before="60"/>
            </w:pPr>
          </w:p>
          <w:p w:rsidR="00A720B1" w:rsidRPr="00A97643" w:rsidRDefault="00A720B1" w:rsidP="00A720B1">
            <w:pPr>
              <w:spacing w:before="60"/>
            </w:pPr>
          </w:p>
          <w:p w:rsidR="00A720B1" w:rsidRPr="00A97643" w:rsidRDefault="00A720B1" w:rsidP="00A720B1">
            <w:pPr>
              <w:spacing w:before="60"/>
            </w:pPr>
            <w:r w:rsidRPr="00A97643">
              <w:t>Relevance</w:t>
            </w:r>
          </w:p>
          <w:p w:rsidR="00A720B1" w:rsidRPr="00A97643" w:rsidRDefault="00A720B1" w:rsidP="00A720B1">
            <w:pPr>
              <w:spacing w:before="60"/>
            </w:pPr>
            <w:r w:rsidRPr="00A97643">
              <w:t>cannot be</w:t>
            </w:r>
          </w:p>
          <w:p w:rsidR="00A720B1" w:rsidRPr="00A97643" w:rsidRDefault="00A720B1" w:rsidP="00A720B1">
            <w:pPr>
              <w:spacing w:before="60"/>
            </w:pPr>
            <w:r w:rsidRPr="00A97643">
              <w:t>determined at this stage</w:t>
            </w:r>
          </w:p>
        </w:tc>
      </w:tr>
    </w:tbl>
    <w:p w:rsidR="00D136EA" w:rsidRPr="00A97643" w:rsidRDefault="00D136EA">
      <w:r w:rsidRPr="00A97643">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73"/>
        <w:gridCol w:w="4798"/>
        <w:gridCol w:w="1481"/>
      </w:tblGrid>
      <w:tr w:rsidR="00A720B1" w:rsidRPr="00A97643" w:rsidTr="00D136EA">
        <w:tc>
          <w:tcPr>
            <w:tcW w:w="2573"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jc w:val="both"/>
            </w:pPr>
            <w:r w:rsidRPr="00A97643">
              <w:t>Environmental problems</w:t>
            </w:r>
          </w:p>
          <w:p w:rsidR="00A720B1" w:rsidRPr="00A97643" w:rsidRDefault="00A720B1" w:rsidP="00A720B1">
            <w:pPr>
              <w:spacing w:before="60"/>
              <w:jc w:val="both"/>
            </w:pPr>
            <w:r w:rsidRPr="00A97643">
              <w:t>relevant to the plan or</w:t>
            </w:r>
          </w:p>
          <w:p w:rsidR="00A720B1" w:rsidRPr="00A97643" w:rsidRDefault="00A720B1" w:rsidP="00A720B1">
            <w:pPr>
              <w:spacing w:before="60"/>
              <w:jc w:val="both"/>
            </w:pPr>
            <w:r w:rsidRPr="00A97643">
              <w:t>programme</w:t>
            </w:r>
          </w:p>
        </w:tc>
        <w:tc>
          <w:tcPr>
            <w:tcW w:w="4798"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jc w:val="both"/>
            </w:pPr>
            <w:r w:rsidRPr="00A97643">
              <w:t>As stated above, it is impossible to determine at this stage if the programme itself will directly encourage the integration of environmental considerations.</w:t>
            </w:r>
          </w:p>
        </w:tc>
        <w:tc>
          <w:tcPr>
            <w:tcW w:w="1481"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pPr>
            <w:r w:rsidRPr="00A97643">
              <w:t xml:space="preserve">Low direct </w:t>
            </w:r>
          </w:p>
          <w:p w:rsidR="00A720B1" w:rsidRPr="00A97643" w:rsidRDefault="00A720B1" w:rsidP="00A720B1">
            <w:pPr>
              <w:spacing w:before="60"/>
            </w:pPr>
            <w:r w:rsidRPr="00A97643">
              <w:t>impact</w:t>
            </w:r>
          </w:p>
          <w:p w:rsidR="00A720B1" w:rsidRPr="00A97643" w:rsidRDefault="00A720B1" w:rsidP="00A720B1">
            <w:pPr>
              <w:spacing w:before="60"/>
            </w:pPr>
          </w:p>
          <w:p w:rsidR="00A720B1" w:rsidRPr="00A97643" w:rsidRDefault="00A720B1" w:rsidP="00A720B1">
            <w:pPr>
              <w:spacing w:before="60"/>
            </w:pPr>
            <w:r w:rsidRPr="00A97643">
              <w:t>Relevance</w:t>
            </w:r>
          </w:p>
          <w:p w:rsidR="00A720B1" w:rsidRPr="00A97643" w:rsidRDefault="00A720B1" w:rsidP="00A720B1">
            <w:pPr>
              <w:spacing w:before="60"/>
            </w:pPr>
            <w:r w:rsidRPr="00A97643">
              <w:t>cannot be</w:t>
            </w:r>
          </w:p>
          <w:p w:rsidR="00A720B1" w:rsidRPr="00A97643" w:rsidRDefault="00A720B1" w:rsidP="00A720B1">
            <w:pPr>
              <w:spacing w:before="60"/>
            </w:pPr>
            <w:r w:rsidRPr="00A97643">
              <w:t>determined at this stage</w:t>
            </w:r>
          </w:p>
        </w:tc>
      </w:tr>
      <w:tr w:rsidR="00A720B1" w:rsidRPr="00A97643" w:rsidTr="00D136EA">
        <w:tc>
          <w:tcPr>
            <w:tcW w:w="2573"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jc w:val="both"/>
            </w:pPr>
            <w:r w:rsidRPr="00A97643">
              <w:t>The relevance of the plan</w:t>
            </w:r>
          </w:p>
          <w:p w:rsidR="00A720B1" w:rsidRPr="00A97643" w:rsidRDefault="00A720B1" w:rsidP="00A720B1">
            <w:pPr>
              <w:spacing w:before="60"/>
              <w:jc w:val="both"/>
            </w:pPr>
            <w:r w:rsidRPr="00A97643">
              <w:t>or programme for the</w:t>
            </w:r>
          </w:p>
          <w:p w:rsidR="00A720B1" w:rsidRPr="00A97643" w:rsidRDefault="00A720B1" w:rsidP="00A720B1">
            <w:pPr>
              <w:spacing w:before="60"/>
              <w:jc w:val="both"/>
            </w:pPr>
            <w:r w:rsidRPr="00A97643">
              <w:t>implementation of</w:t>
            </w:r>
          </w:p>
          <w:p w:rsidR="00A720B1" w:rsidRPr="00A97643" w:rsidRDefault="00A720B1" w:rsidP="00A720B1">
            <w:pPr>
              <w:spacing w:before="60"/>
              <w:jc w:val="both"/>
            </w:pPr>
            <w:r w:rsidRPr="00A97643">
              <w:t>community legislation</w:t>
            </w:r>
          </w:p>
          <w:p w:rsidR="00A720B1" w:rsidRPr="00A97643" w:rsidRDefault="00A720B1" w:rsidP="00A720B1">
            <w:pPr>
              <w:spacing w:before="60"/>
              <w:jc w:val="both"/>
            </w:pPr>
            <w:r w:rsidRPr="00A97643">
              <w:t>on the Environment</w:t>
            </w:r>
          </w:p>
        </w:tc>
        <w:tc>
          <w:tcPr>
            <w:tcW w:w="4798"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jc w:val="both"/>
            </w:pPr>
            <w:r w:rsidRPr="00A97643">
              <w:t>Some of the projects of URBACT III may be relevant to activities related to environmental themes, but it cannot be determined whether such activity will be of relevance to the implementation of Community legislation on the environment.</w:t>
            </w:r>
          </w:p>
        </w:tc>
        <w:tc>
          <w:tcPr>
            <w:tcW w:w="1481"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jc w:val="both"/>
            </w:pPr>
            <w:r w:rsidRPr="00A97643">
              <w:t xml:space="preserve">Low direct </w:t>
            </w:r>
          </w:p>
          <w:p w:rsidR="00A720B1" w:rsidRPr="00A97643" w:rsidRDefault="00A720B1" w:rsidP="00A720B1">
            <w:pPr>
              <w:spacing w:before="60"/>
              <w:jc w:val="both"/>
            </w:pPr>
            <w:r w:rsidRPr="00A97643">
              <w:t>impact</w:t>
            </w:r>
          </w:p>
          <w:p w:rsidR="00A720B1" w:rsidRPr="00A97643" w:rsidRDefault="00A720B1" w:rsidP="00A720B1">
            <w:pPr>
              <w:spacing w:before="60"/>
              <w:jc w:val="both"/>
            </w:pPr>
          </w:p>
          <w:p w:rsidR="00A720B1" w:rsidRPr="00A97643" w:rsidRDefault="00A720B1" w:rsidP="00A720B1">
            <w:pPr>
              <w:spacing w:before="60"/>
              <w:jc w:val="both"/>
            </w:pPr>
            <w:r w:rsidRPr="00A97643">
              <w:t>Relevance</w:t>
            </w:r>
          </w:p>
          <w:p w:rsidR="00A720B1" w:rsidRPr="00A97643" w:rsidRDefault="00A720B1" w:rsidP="00A720B1">
            <w:pPr>
              <w:spacing w:before="60"/>
              <w:jc w:val="both"/>
            </w:pPr>
            <w:r w:rsidRPr="00A97643">
              <w:t>cannot be</w:t>
            </w:r>
          </w:p>
          <w:p w:rsidR="00A720B1" w:rsidRPr="00A97643" w:rsidRDefault="00A720B1" w:rsidP="00A720B1">
            <w:pPr>
              <w:spacing w:before="60"/>
              <w:jc w:val="both"/>
            </w:pPr>
            <w:r w:rsidRPr="00A97643">
              <w:t>determined at this stage</w:t>
            </w:r>
          </w:p>
        </w:tc>
      </w:tr>
    </w:tbl>
    <w:p w:rsidR="00A720B1" w:rsidRPr="00A97643" w:rsidRDefault="00A720B1" w:rsidP="00A720B1">
      <w:pPr>
        <w:spacing w:before="60"/>
        <w:jc w:val="both"/>
      </w:pPr>
    </w:p>
    <w:p w:rsidR="00D136EA" w:rsidRPr="00A97643" w:rsidRDefault="00D136EA" w:rsidP="00A720B1">
      <w:pPr>
        <w:spacing w:before="60"/>
        <w:jc w:val="both"/>
      </w:pPr>
    </w:p>
    <w:p w:rsidR="00A720B1" w:rsidRPr="00A97643" w:rsidRDefault="00A720B1" w:rsidP="00D67ECF">
      <w:pPr>
        <w:numPr>
          <w:ilvl w:val="0"/>
          <w:numId w:val="19"/>
        </w:numPr>
        <w:spacing w:before="60"/>
        <w:jc w:val="both"/>
      </w:pPr>
      <w:r w:rsidRPr="00A97643">
        <w:t>Characteristics of the effects and of the area likely to be affected, having regard, in particular, to:</w:t>
      </w:r>
    </w:p>
    <w:p w:rsidR="00A720B1" w:rsidRPr="00A97643" w:rsidRDefault="00A720B1" w:rsidP="00A720B1">
      <w:pPr>
        <w:spacing w:before="6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0"/>
        <w:gridCol w:w="3060"/>
        <w:gridCol w:w="1762"/>
      </w:tblGrid>
      <w:tr w:rsidR="00A720B1" w:rsidRPr="00A97643" w:rsidTr="00A720B1">
        <w:tc>
          <w:tcPr>
            <w:tcW w:w="4030"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pStyle w:val="4"/>
            </w:pPr>
            <w:r w:rsidRPr="00A97643">
              <w:t>Annex II/2 Criteria</w:t>
            </w:r>
          </w:p>
        </w:tc>
        <w:tc>
          <w:tcPr>
            <w:tcW w:w="3060"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jc w:val="center"/>
            </w:pPr>
            <w:r w:rsidRPr="00A97643">
              <w:t>Comments</w:t>
            </w:r>
          </w:p>
        </w:tc>
        <w:tc>
          <w:tcPr>
            <w:tcW w:w="1762"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jc w:val="center"/>
            </w:pPr>
            <w:r w:rsidRPr="00A97643">
              <w:t>Assessment</w:t>
            </w:r>
          </w:p>
        </w:tc>
      </w:tr>
      <w:tr w:rsidR="00A720B1" w:rsidRPr="00A97643" w:rsidTr="00A720B1">
        <w:tc>
          <w:tcPr>
            <w:tcW w:w="4030"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pPr>
            <w:r w:rsidRPr="00A97643">
              <w:t>- the probability, duration, frequency and reversibility of the effects</w:t>
            </w:r>
          </w:p>
          <w:p w:rsidR="00A720B1" w:rsidRPr="00A97643" w:rsidRDefault="00A720B1" w:rsidP="00A720B1">
            <w:pPr>
              <w:spacing w:before="60"/>
              <w:jc w:val="both"/>
            </w:pPr>
            <w:r w:rsidRPr="00A97643">
              <w:t>- the cumulative nature of the effects</w:t>
            </w:r>
          </w:p>
          <w:p w:rsidR="00A720B1" w:rsidRPr="00A97643" w:rsidRDefault="00A720B1" w:rsidP="00A720B1">
            <w:pPr>
              <w:spacing w:before="60"/>
              <w:jc w:val="both"/>
            </w:pPr>
            <w:r w:rsidRPr="00A97643">
              <w:t>- the trans</w:t>
            </w:r>
            <w:r w:rsidR="0029014E" w:rsidRPr="00A97643">
              <w:t>-</w:t>
            </w:r>
            <w:r w:rsidRPr="00A97643">
              <w:t>boundary nature of the effects</w:t>
            </w:r>
          </w:p>
          <w:p w:rsidR="00A720B1" w:rsidRPr="00A97643" w:rsidRDefault="00A720B1" w:rsidP="00A720B1">
            <w:pPr>
              <w:spacing w:before="60"/>
              <w:jc w:val="both"/>
            </w:pPr>
            <w:r w:rsidRPr="00A97643">
              <w:t>- the risks to human health or the environment (e.g. due to accidents)</w:t>
            </w:r>
          </w:p>
          <w:p w:rsidR="00A720B1" w:rsidRPr="00A97643" w:rsidRDefault="00A720B1" w:rsidP="00A720B1">
            <w:pPr>
              <w:spacing w:before="60"/>
              <w:jc w:val="both"/>
            </w:pPr>
            <w:r w:rsidRPr="00A97643">
              <w:t>- the magnitude and spatial extent of the effect</w:t>
            </w:r>
          </w:p>
          <w:p w:rsidR="00A720B1" w:rsidRPr="00A97643" w:rsidRDefault="00A720B1" w:rsidP="00A720B1">
            <w:pPr>
              <w:spacing w:before="60"/>
              <w:jc w:val="both"/>
            </w:pPr>
            <w:r w:rsidRPr="00A97643">
              <w:t>- the value and vulnerability of the area likely to be affected due to special natural characteristics or cultural heritage, exceeded environmental quality standards or limit values, intensive land-use</w:t>
            </w:r>
          </w:p>
          <w:p w:rsidR="00A720B1" w:rsidRPr="00A97643" w:rsidRDefault="00A720B1" w:rsidP="00A720B1">
            <w:pPr>
              <w:spacing w:before="60"/>
              <w:jc w:val="both"/>
            </w:pPr>
            <w:r w:rsidRPr="00A97643">
              <w:t>- the effects on areas or landscapes which have a recognized national, Community or international protection status</w:t>
            </w:r>
          </w:p>
        </w:tc>
        <w:tc>
          <w:tcPr>
            <w:tcW w:w="3060"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jc w:val="both"/>
            </w:pPr>
            <w:r w:rsidRPr="00A97643">
              <w:t>Given the above assessment and taking into account that URBACT is an exchange programme on urban issues, it is expected that the environmental effects resulting directly from the programme will not be significant.</w:t>
            </w:r>
          </w:p>
        </w:tc>
        <w:tc>
          <w:tcPr>
            <w:tcW w:w="1762" w:type="dxa"/>
            <w:tcBorders>
              <w:top w:val="single" w:sz="4" w:space="0" w:color="auto"/>
              <w:left w:val="single" w:sz="4" w:space="0" w:color="auto"/>
              <w:bottom w:val="single" w:sz="4" w:space="0" w:color="auto"/>
              <w:right w:val="single" w:sz="4" w:space="0" w:color="auto"/>
            </w:tcBorders>
          </w:tcPr>
          <w:p w:rsidR="00A720B1" w:rsidRPr="00A97643" w:rsidRDefault="00A720B1" w:rsidP="00A720B1">
            <w:pPr>
              <w:spacing w:before="60"/>
              <w:jc w:val="both"/>
            </w:pPr>
            <w:r w:rsidRPr="00A97643">
              <w:t>Not significant</w:t>
            </w:r>
          </w:p>
        </w:tc>
      </w:tr>
    </w:tbl>
    <w:p w:rsidR="00A720B1" w:rsidRPr="00A97643" w:rsidRDefault="00A720B1" w:rsidP="00A720B1">
      <w:pPr>
        <w:autoSpaceDE w:val="0"/>
        <w:autoSpaceDN w:val="0"/>
        <w:adjustRightInd w:val="0"/>
      </w:pPr>
    </w:p>
    <w:p w:rsidR="00A720B1" w:rsidRPr="00A97643" w:rsidRDefault="00A720B1" w:rsidP="00A720B1"/>
    <w:p w:rsidR="00A720B1" w:rsidRPr="00A97643" w:rsidRDefault="00A720B1" w:rsidP="00A720B1">
      <w:pPr>
        <w:spacing w:line="360" w:lineRule="auto"/>
        <w:jc w:val="both"/>
      </w:pPr>
    </w:p>
    <w:sectPr w:rsidR="00A720B1" w:rsidRPr="00A97643" w:rsidSect="00FF01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5C5" w:rsidRDefault="00FA25C5" w:rsidP="007552F3">
      <w:r>
        <w:separator/>
      </w:r>
    </w:p>
    <w:p w:rsidR="00FA25C5" w:rsidRDefault="00FA25C5"/>
    <w:p w:rsidR="00FA25C5" w:rsidRDefault="00FA25C5" w:rsidP="00721521"/>
  </w:endnote>
  <w:endnote w:type="continuationSeparator" w:id="0">
    <w:p w:rsidR="00FA25C5" w:rsidRDefault="00FA25C5" w:rsidP="007552F3">
      <w:r>
        <w:continuationSeparator/>
      </w:r>
    </w:p>
    <w:p w:rsidR="00FA25C5" w:rsidRDefault="00FA25C5"/>
    <w:p w:rsidR="00FA25C5" w:rsidRDefault="00FA25C5" w:rsidP="00721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eelawadee">
    <w:panose1 w:val="020B0502040204020203"/>
    <w:charset w:val="00"/>
    <w:family w:val="swiss"/>
    <w:pitch w:val="variable"/>
    <w:sig w:usb0="810000AF" w:usb1="4000204B" w:usb2="00000000" w:usb3="00000000" w:csb0="00010001"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rocoli">
    <w:altName w:val="Courier New"/>
    <w:charset w:val="80"/>
    <w:family w:val="auto"/>
    <w:pitch w:val="variable"/>
  </w:font>
  <w:font w:name="HelveticaNeue-Roman">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EUAlbertina">
    <w:altName w:val="EU Albertina"/>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MyriadPro-Bold">
    <w:altName w:val="Cambria"/>
    <w:panose1 w:val="00000000000000000000"/>
    <w:charset w:val="00"/>
    <w:family w:val="swiss"/>
    <w:notTrueType/>
    <w:pitch w:val="default"/>
    <w:sig w:usb0="00000003" w:usb1="00000000" w:usb2="00000000" w:usb3="00000000" w:csb0="00000001" w:csb1="00000000"/>
  </w:font>
  <w:font w:name="MyriadPro-Regular">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
    <w:altName w:val="MS Mincho"/>
    <w:panose1 w:val="00000000000000000000"/>
    <w:charset w:val="80"/>
    <w:family w:val="auto"/>
    <w:notTrueType/>
    <w:pitch w:val="variable"/>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TT6Ao00">
    <w:panose1 w:val="00000000000000000000"/>
    <w:charset w:val="00"/>
    <w:family w:val="auto"/>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Helvetica">
    <w:panose1 w:val="020B06040202020302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1C" w:rsidRDefault="00366157">
    <w:pPr>
      <w:pStyle w:val="af3"/>
      <w:jc w:val="right"/>
    </w:pPr>
    <w:r>
      <w:fldChar w:fldCharType="begin"/>
    </w:r>
    <w:r>
      <w:instrText xml:space="preserve"> PAGE   \* MERGEFORMAT </w:instrText>
    </w:r>
    <w:r>
      <w:fldChar w:fldCharType="separate"/>
    </w:r>
    <w:r w:rsidR="00E74FBF">
      <w:rPr>
        <w:noProof/>
      </w:rPr>
      <w:t>20</w:t>
    </w:r>
    <w:r>
      <w:rPr>
        <w:noProof/>
      </w:rPr>
      <w:fldChar w:fldCharType="end"/>
    </w:r>
  </w:p>
  <w:p w:rsidR="00135F1C" w:rsidRDefault="00135F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1C" w:rsidRDefault="00366157">
    <w:pPr>
      <w:pStyle w:val="af3"/>
      <w:jc w:val="right"/>
    </w:pPr>
    <w:r>
      <w:fldChar w:fldCharType="begin"/>
    </w:r>
    <w:r>
      <w:instrText xml:space="preserve"> PAGE   \* MERGEFORMAT </w:instrText>
    </w:r>
    <w:r>
      <w:fldChar w:fldCharType="separate"/>
    </w:r>
    <w:r w:rsidR="00E74FBF">
      <w:rPr>
        <w:noProof/>
      </w:rPr>
      <w:t>21</w:t>
    </w:r>
    <w:r>
      <w:rPr>
        <w:noProof/>
      </w:rPr>
      <w:fldChar w:fldCharType="end"/>
    </w:r>
  </w:p>
  <w:p w:rsidR="00135F1C" w:rsidRDefault="00135F1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1C" w:rsidRDefault="00060EF2">
    <w:pPr>
      <w:pStyle w:val="af3"/>
      <w:jc w:val="right"/>
    </w:pPr>
    <w:r>
      <w:fldChar w:fldCharType="begin"/>
    </w:r>
    <w:r w:rsidR="00135F1C">
      <w:instrText>PAGE   \* MERGEFORMAT</w:instrText>
    </w:r>
    <w:r>
      <w:fldChar w:fldCharType="separate"/>
    </w:r>
    <w:r w:rsidR="00E74FBF" w:rsidRPr="00E74FBF">
      <w:rPr>
        <w:noProof/>
        <w:lang w:val="fr-FR"/>
      </w:rPr>
      <w:t>26</w:t>
    </w:r>
    <w:r>
      <w:rPr>
        <w:noProof/>
        <w:lang w:val="fr-FR"/>
      </w:rPr>
      <w:fldChar w:fldCharType="end"/>
    </w:r>
  </w:p>
  <w:p w:rsidR="00135F1C" w:rsidRDefault="00135F1C">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1C" w:rsidRDefault="00060EF2">
    <w:pPr>
      <w:pStyle w:val="af3"/>
      <w:jc w:val="right"/>
    </w:pPr>
    <w:r>
      <w:fldChar w:fldCharType="begin"/>
    </w:r>
    <w:r w:rsidR="00135F1C">
      <w:instrText>PAGE   \* MERGEFORMAT</w:instrText>
    </w:r>
    <w:r>
      <w:fldChar w:fldCharType="separate"/>
    </w:r>
    <w:r w:rsidR="00E74FBF" w:rsidRPr="00E74FBF">
      <w:rPr>
        <w:noProof/>
        <w:lang w:val="fr-FR"/>
      </w:rPr>
      <w:t>94</w:t>
    </w:r>
    <w:r>
      <w:rPr>
        <w:noProof/>
        <w:lang w:val="fr-FR"/>
      </w:rPr>
      <w:fldChar w:fldCharType="end"/>
    </w:r>
  </w:p>
  <w:p w:rsidR="00135F1C" w:rsidRDefault="00135F1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5C5" w:rsidRDefault="00FA25C5" w:rsidP="007552F3">
      <w:r>
        <w:separator/>
      </w:r>
    </w:p>
    <w:p w:rsidR="00FA25C5" w:rsidRDefault="00FA25C5"/>
    <w:p w:rsidR="00FA25C5" w:rsidRDefault="00FA25C5" w:rsidP="00721521"/>
  </w:footnote>
  <w:footnote w:type="continuationSeparator" w:id="0">
    <w:p w:rsidR="00FA25C5" w:rsidRDefault="00FA25C5" w:rsidP="007552F3">
      <w:r>
        <w:continuationSeparator/>
      </w:r>
    </w:p>
    <w:p w:rsidR="00FA25C5" w:rsidRDefault="00FA25C5"/>
    <w:p w:rsidR="00FA25C5" w:rsidRDefault="00FA25C5" w:rsidP="00721521"/>
  </w:footnote>
  <w:footnote w:id="1">
    <w:p w:rsidR="00135F1C" w:rsidRPr="000B5167" w:rsidRDefault="00135F1C" w:rsidP="00C17DB5">
      <w:pPr>
        <w:pStyle w:val="a7"/>
      </w:pPr>
      <w:r w:rsidRPr="000B5167">
        <w:rPr>
          <w:rStyle w:val="a5"/>
        </w:rPr>
        <w:footnoteRef/>
      </w:r>
      <w:r w:rsidRPr="000B5167">
        <w:t xml:space="preserve"> Article 24 (1) Common Provisions Regulation and Article 7(2)(A) ETC Regulation</w:t>
      </w:r>
    </w:p>
  </w:footnote>
  <w:footnote w:id="2">
    <w:p w:rsidR="00135F1C" w:rsidRPr="00717C94" w:rsidRDefault="00135F1C" w:rsidP="00717C94">
      <w:pPr>
        <w:pStyle w:val="a7"/>
      </w:pPr>
      <w:r>
        <w:rPr>
          <w:rStyle w:val="a5"/>
        </w:rPr>
        <w:footnoteRef/>
      </w:r>
      <w:r>
        <w:t xml:space="preserve"> </w:t>
      </w:r>
      <w:r w:rsidRPr="00717C94">
        <w:t>The five overarching targets h</w:t>
      </w:r>
      <w:r>
        <w:t>ave been set are the following:</w:t>
      </w:r>
    </w:p>
    <w:p w:rsidR="00135F1C" w:rsidRDefault="00135F1C">
      <w:pPr>
        <w:pStyle w:val="a7"/>
      </w:pPr>
      <w:r>
        <w:t xml:space="preserve">a/ </w:t>
      </w:r>
      <w:r w:rsidRPr="00717C94">
        <w:t>Employment: 75% of the 20-64 year-olds to be employed</w:t>
      </w:r>
    </w:p>
    <w:p w:rsidR="00135F1C" w:rsidRDefault="00135F1C">
      <w:pPr>
        <w:pStyle w:val="a7"/>
      </w:pPr>
      <w:r>
        <w:t xml:space="preserve">b/ </w:t>
      </w:r>
      <w:r w:rsidRPr="00717C94">
        <w:t>R&amp;D / innovation: 3% of the EU's GDP (public and private combined) to be invested in R&amp;D/innovation</w:t>
      </w:r>
    </w:p>
    <w:p w:rsidR="00135F1C" w:rsidRDefault="00135F1C">
      <w:pPr>
        <w:pStyle w:val="a7"/>
      </w:pPr>
      <w:r>
        <w:t xml:space="preserve">c/ </w:t>
      </w:r>
      <w:r w:rsidRPr="00717C94">
        <w:t xml:space="preserve">The 20/20/20 Climate change / energy target: greenhouse gas emissions 20% (or even 30%, if the conditions are right) lower than 1990; 20% of energy from renewable sources; 20% increase in energy efficiency  </w:t>
      </w:r>
    </w:p>
    <w:p w:rsidR="00135F1C" w:rsidRDefault="00135F1C">
      <w:pPr>
        <w:pStyle w:val="a7"/>
      </w:pPr>
      <w:r>
        <w:t xml:space="preserve">d/ </w:t>
      </w:r>
      <w:r w:rsidRPr="00717C94">
        <w:t>Education: Reducing school drop-out rates below 10% and at least 40% of 30-34–year-olds completing third level education</w:t>
      </w:r>
    </w:p>
    <w:p w:rsidR="00135F1C" w:rsidRDefault="00135F1C">
      <w:pPr>
        <w:pStyle w:val="a7"/>
      </w:pPr>
      <w:r>
        <w:t xml:space="preserve">e/ </w:t>
      </w:r>
      <w:r w:rsidRPr="00717C94">
        <w:t>Poverty / social exclusion at least 20 million fewer people in or at risk of poverty and social exclusion</w:t>
      </w:r>
    </w:p>
    <w:p w:rsidR="00135F1C" w:rsidRPr="00717C94" w:rsidRDefault="00135F1C" w:rsidP="00717C94">
      <w:pPr>
        <w:pStyle w:val="a7"/>
        <w:ind w:left="284" w:hanging="284"/>
      </w:pPr>
    </w:p>
  </w:footnote>
  <w:footnote w:id="3">
    <w:p w:rsidR="00135F1C" w:rsidRDefault="00135F1C" w:rsidP="00C17DB5">
      <w:pPr>
        <w:pStyle w:val="a7"/>
        <w:spacing w:after="100"/>
      </w:pPr>
      <w:r w:rsidRPr="000B5167">
        <w:rPr>
          <w:rStyle w:val="a5"/>
        </w:rPr>
        <w:footnoteRef/>
      </w:r>
      <w:r>
        <w:t xml:space="preserve"> </w:t>
      </w:r>
      <w:r w:rsidRPr="00CF6F3D">
        <w:t>The Territorial Agenda of the European Union</w:t>
      </w:r>
      <w:r>
        <w:t xml:space="preserve"> </w:t>
      </w:r>
      <w:r w:rsidRPr="00CF6F3D">
        <w:t>(http://www.eu-territorial-agenda.eu/Reference%20Documents/Final%20TA2020.pdf) defines six territorial priorities: promote polycentric and balanced territorial development; encouraging integrated development in cities, rural and specific areas; territorial integration in cross-border and transnational functional regions; ensuring global competiveness of the regions based on strong local economies; improving territorial connectivity for individuals, communities and enterprises; and managing and connecting ecological, landscape and cultural values of regions</w:t>
      </w:r>
      <w:r>
        <w:t>;</w:t>
      </w:r>
    </w:p>
    <w:p w:rsidR="00135F1C" w:rsidRPr="000B5167" w:rsidRDefault="00135F1C" w:rsidP="00C17DB5">
      <w:pPr>
        <w:pStyle w:val="a7"/>
        <w:spacing w:after="100"/>
      </w:pPr>
    </w:p>
  </w:footnote>
  <w:footnote w:id="4">
    <w:p w:rsidR="00135F1C" w:rsidRPr="000B5167" w:rsidRDefault="00135F1C" w:rsidP="00C17DB5">
      <w:pPr>
        <w:pStyle w:val="a7"/>
      </w:pPr>
      <w:r w:rsidRPr="000B5167">
        <w:rPr>
          <w:rStyle w:val="a5"/>
        </w:rPr>
        <w:footnoteRef/>
      </w:r>
      <w:r>
        <w:t xml:space="preserve"> Common provision  for ERDF, ESF, CF, EAFRD, EMFF and specific regulations for  ERDF, ESF, European </w:t>
      </w:r>
      <w:r w:rsidRPr="000B5167">
        <w:t>territorial cooperation regulations</w:t>
      </w:r>
      <w:r>
        <w:t>.</w:t>
      </w:r>
      <w:r w:rsidRPr="00210F3D">
        <w:t xml:space="preserve"> </w:t>
      </w:r>
      <w:r w:rsidRPr="000B5167">
        <w:t xml:space="preserve">See </w:t>
      </w:r>
      <w:hyperlink r:id="rId1" w:history="1">
        <w:r w:rsidRPr="000B5167">
          <w:rPr>
            <w:rStyle w:val="af5"/>
          </w:rPr>
          <w:t>http://ec.europa.eu/regional_policy/what/future/index_en.cfm</w:t>
        </w:r>
      </w:hyperlink>
      <w:r>
        <w:t xml:space="preserve"> </w:t>
      </w:r>
    </w:p>
  </w:footnote>
  <w:footnote w:id="5">
    <w:p w:rsidR="00135F1C" w:rsidRPr="00A760F0" w:rsidRDefault="00135F1C" w:rsidP="00C17DB5">
      <w:pPr>
        <w:pStyle w:val="a7"/>
      </w:pPr>
      <w:r>
        <w:rPr>
          <w:rStyle w:val="a5"/>
        </w:rPr>
        <w:footnoteRef/>
      </w:r>
      <w:r>
        <w:t xml:space="preserve">  </w:t>
      </w:r>
      <w:r w:rsidRPr="000B5167">
        <w:t xml:space="preserve">See </w:t>
      </w:r>
      <w:hyperlink r:id="rId2" w:history="1">
        <w:r w:rsidRPr="000B5167">
          <w:rPr>
            <w:rStyle w:val="af5"/>
          </w:rPr>
          <w:t>http://ec.europa.eu/regional_policy/what/future/index_en.cfm</w:t>
        </w:r>
      </w:hyperlink>
      <w:r>
        <w:t xml:space="preserve"> for</w:t>
      </w:r>
      <w:r w:rsidRPr="007057A3">
        <w:t xml:space="preserve"> specific provisions for the support from the European Regional Development Fund to the European territorial cooperation goal</w:t>
      </w:r>
    </w:p>
  </w:footnote>
  <w:footnote w:id="6">
    <w:p w:rsidR="00135F1C" w:rsidRPr="00C70BDE" w:rsidRDefault="00135F1C" w:rsidP="00C17DB5">
      <w:pPr>
        <w:pStyle w:val="a7"/>
        <w:rPr>
          <w:lang w:val="en-US"/>
        </w:rPr>
      </w:pPr>
      <w:r>
        <w:rPr>
          <w:rStyle w:val="a5"/>
        </w:rPr>
        <w:footnoteRef/>
      </w:r>
      <w:r>
        <w:t xml:space="preserve">  </w:t>
      </w:r>
      <w:r w:rsidRPr="00A760F0">
        <w:t xml:space="preserve">Common provision  for ERDF, ESF, CF, EAFRD, EMFF and specific regulations for  ERDF, ESF, European territorial cooperation regulations. See </w:t>
      </w:r>
      <w:hyperlink r:id="rId3" w:history="1">
        <w:r w:rsidRPr="00A760F0">
          <w:rPr>
            <w:rStyle w:val="af5"/>
          </w:rPr>
          <w:t>http://ec.europa.eu/regional_policy/what/future/index_en.cfm</w:t>
        </w:r>
      </w:hyperlink>
    </w:p>
  </w:footnote>
  <w:footnote w:id="7">
    <w:p w:rsidR="00135F1C" w:rsidRPr="000B5167" w:rsidRDefault="00135F1C" w:rsidP="00C17DB5">
      <w:pPr>
        <w:pStyle w:val="a7"/>
        <w:spacing w:before="2" w:after="2"/>
      </w:pPr>
      <w:r w:rsidRPr="000B5167">
        <w:rPr>
          <w:rStyle w:val="a5"/>
        </w:rPr>
        <w:footnoteRef/>
      </w:r>
      <w:r w:rsidRPr="000B5167">
        <w:t xml:space="preserve"> Europ</w:t>
      </w:r>
      <w:r>
        <w:t>ean Union Regional Policy October 2011 “</w:t>
      </w:r>
      <w:r w:rsidRPr="000B5167">
        <w:t>Cities of Tomorrow: challenges, visions, ways forward</w:t>
      </w:r>
      <w:r>
        <w:t>”</w:t>
      </w:r>
      <w:r w:rsidRPr="000B5167">
        <w:t xml:space="preserve">  </w:t>
      </w:r>
      <w:hyperlink r:id="rId4" w:history="1">
        <w:r w:rsidRPr="00FA277C">
          <w:rPr>
            <w:rStyle w:val="af5"/>
          </w:rPr>
          <w:t>http://ec.europa.eu/regional_policy/sources/docgener/studies/pdf/citiesoftomorrow/citiesoftomorrow_final</w:t>
        </w:r>
      </w:hyperlink>
      <w:r w:rsidRPr="00952C97">
        <w:rPr>
          <w:rStyle w:val="af5"/>
        </w:rPr>
        <w:t>.pdf</w:t>
      </w:r>
    </w:p>
  </w:footnote>
  <w:footnote w:id="8">
    <w:p w:rsidR="00135F1C" w:rsidRPr="000B5167" w:rsidRDefault="00135F1C" w:rsidP="00C17DB5">
      <w:pPr>
        <w:pStyle w:val="a7"/>
      </w:pPr>
      <w:r w:rsidRPr="000B5167">
        <w:rPr>
          <w:rStyle w:val="a5"/>
        </w:rPr>
        <w:footnoteRef/>
      </w:r>
      <w:r w:rsidRPr="000B5167">
        <w:t xml:space="preserve">  </w:t>
      </w:r>
      <w:r>
        <w:t xml:space="preserve">“Cities of tomorrow: </w:t>
      </w:r>
      <w:r w:rsidRPr="000B5167">
        <w:t>challenges, visions, ways forward</w:t>
      </w:r>
      <w:r>
        <w:t>”</w:t>
      </w:r>
      <w:r w:rsidRPr="000B5167">
        <w:t xml:space="preserve">  </w:t>
      </w:r>
      <w:r>
        <w:t xml:space="preserve"> see above</w:t>
      </w:r>
    </w:p>
  </w:footnote>
  <w:footnote w:id="9">
    <w:p w:rsidR="00135F1C" w:rsidRDefault="00135F1C" w:rsidP="00C17DB5">
      <w:pPr>
        <w:pStyle w:val="a7"/>
      </w:pPr>
      <w:r>
        <w:rPr>
          <w:rStyle w:val="a5"/>
        </w:rPr>
        <w:footnoteRef/>
      </w:r>
      <w:r>
        <w:t xml:space="preserve">   </w:t>
      </w:r>
      <w:r w:rsidRPr="000B5167">
        <w:t xml:space="preserve">European Union Regional Policy </w:t>
      </w:r>
      <w:r>
        <w:t>2011 “</w:t>
      </w:r>
      <w:r w:rsidRPr="000B5167">
        <w:t>Cities of Tomorrow: challenges, visions, ways forward</w:t>
      </w:r>
      <w:r>
        <w:t>”, p.3 (</w:t>
      </w:r>
      <w:hyperlink r:id="rId5" w:history="1">
        <w:r w:rsidRPr="00FA277C">
          <w:rPr>
            <w:rStyle w:val="af5"/>
          </w:rPr>
          <w:t>http://ec.europa.eu/regional_policy/sources/docgener/studies/pdf/citiesoftomorrow/citiesoftomorrow_final</w:t>
        </w:r>
      </w:hyperlink>
      <w:r>
        <w:t>.p</w:t>
      </w:r>
      <w:r w:rsidRPr="000B5167">
        <w:t>df</w:t>
      </w:r>
      <w:r>
        <w:t xml:space="preserve">).  Cities above 50 000 are defined as clusters of grid cells of at least 1500 inhabitants per km2.  Areas outside urban agglomerations are defined as suburbs and towns if they are located in urban clusters of cells with density above 300 inhabitants per km2 and a total cluster population of at least 5000.  Rural areas are the remainder </w:t>
      </w:r>
    </w:p>
  </w:footnote>
  <w:footnote w:id="10">
    <w:p w:rsidR="00135F1C" w:rsidRDefault="00135F1C" w:rsidP="00C17DB5">
      <w:pPr>
        <w:pStyle w:val="a7"/>
      </w:pPr>
      <w:r>
        <w:rPr>
          <w:rStyle w:val="a5"/>
        </w:rPr>
        <w:footnoteRef/>
      </w:r>
      <w:r>
        <w:t xml:space="preserve"> Extract of a table: </w:t>
      </w:r>
      <w:r w:rsidRPr="000B5167">
        <w:t xml:space="preserve">European Union Regional Policy </w:t>
      </w:r>
      <w:r>
        <w:t>2011 “</w:t>
      </w:r>
      <w:r w:rsidRPr="000B5167">
        <w:t>Cities of Tomorrow: challenges, visions, ways forward</w:t>
      </w:r>
      <w:r>
        <w:t>”, p.94 (</w:t>
      </w:r>
      <w:hyperlink r:id="rId6" w:history="1">
        <w:r w:rsidRPr="00FA277C">
          <w:rPr>
            <w:rStyle w:val="af5"/>
          </w:rPr>
          <w:t>http://ec.europa.eu/regional_policy/sources/docgener/studies/pdf/citiesoftomorrow/citiesoftomorrow_final</w:t>
        </w:r>
      </w:hyperlink>
      <w:r>
        <w:t>.p</w:t>
      </w:r>
      <w:r w:rsidRPr="000B5167">
        <w:t>df)</w:t>
      </w:r>
      <w:r>
        <w:t xml:space="preserve">.  </w:t>
      </w:r>
    </w:p>
  </w:footnote>
  <w:footnote w:id="11">
    <w:p w:rsidR="00135F1C" w:rsidRDefault="00135F1C" w:rsidP="00C17DB5">
      <w:pPr>
        <w:pStyle w:val="a7"/>
      </w:pPr>
      <w:r w:rsidRPr="003D7EA1">
        <w:rPr>
          <w:rStyle w:val="a5"/>
        </w:rPr>
        <w:footnoteRef/>
      </w:r>
      <w:r>
        <w:t xml:space="preserve">  </w:t>
      </w:r>
      <w:r w:rsidRPr="003D7EA1">
        <w:t xml:space="preserve"> </w:t>
      </w:r>
      <w:r>
        <w:t>URBACT Nov 2010 “URBACT cities facing the crisis: impact and responses” URBACT</w:t>
      </w:r>
    </w:p>
    <w:p w:rsidR="00135F1C" w:rsidRPr="003D7EA1" w:rsidRDefault="00135F1C" w:rsidP="00C17DB5">
      <w:pPr>
        <w:pStyle w:val="a7"/>
      </w:pPr>
      <w:r w:rsidRPr="003D7EA1">
        <w:t>http://urbact.eu/fileadmin/general_library/Crise_urbact__16-11_web.pdf</w:t>
      </w:r>
    </w:p>
  </w:footnote>
  <w:footnote w:id="12">
    <w:p w:rsidR="00135F1C" w:rsidRPr="003D7EA1" w:rsidRDefault="00135F1C" w:rsidP="00C17DB5">
      <w:pPr>
        <w:pStyle w:val="a7"/>
      </w:pPr>
      <w:r w:rsidRPr="003D7EA1">
        <w:rPr>
          <w:rStyle w:val="a5"/>
        </w:rPr>
        <w:footnoteRef/>
      </w:r>
      <w:r w:rsidRPr="003D7EA1">
        <w:t xml:space="preserve"> Source DG Regio/Eurostat </w:t>
      </w:r>
      <w:r>
        <w:t xml:space="preserve"> </w:t>
      </w:r>
    </w:p>
  </w:footnote>
  <w:footnote w:id="13">
    <w:p w:rsidR="00135F1C" w:rsidRPr="003D7EA1" w:rsidRDefault="00135F1C" w:rsidP="00C17DB5">
      <w:pPr>
        <w:pStyle w:val="a7"/>
      </w:pPr>
      <w:r w:rsidRPr="003D7EA1">
        <w:rPr>
          <w:rStyle w:val="a5"/>
        </w:rPr>
        <w:footnoteRef/>
      </w:r>
      <w:r w:rsidRPr="003D7EA1">
        <w:t xml:space="preserve"> </w:t>
      </w:r>
      <w:r w:rsidRPr="000B5167">
        <w:t xml:space="preserve">European Union Regional Policy </w:t>
      </w:r>
      <w:r>
        <w:t>2011 “</w:t>
      </w:r>
      <w:r w:rsidRPr="000B5167">
        <w:t>Cities of Tomorrow: challenges, visions, ways forward</w:t>
      </w:r>
      <w:r>
        <w:t>”, p. 15 (</w:t>
      </w:r>
      <w:hyperlink r:id="rId7" w:history="1">
        <w:r w:rsidRPr="00FA277C">
          <w:rPr>
            <w:rStyle w:val="af5"/>
          </w:rPr>
          <w:t>http://ec.europa.eu/regional_policy/sources/docgener/studies/pdf/citiesoftomorrow/citiesoftomorrow_final</w:t>
        </w:r>
      </w:hyperlink>
      <w:r>
        <w:t>.p</w:t>
      </w:r>
      <w:r w:rsidRPr="000B5167">
        <w:t xml:space="preserve">df </w:t>
      </w:r>
      <w:r>
        <w:t>)</w:t>
      </w:r>
    </w:p>
  </w:footnote>
  <w:footnote w:id="14">
    <w:p w:rsidR="00135F1C" w:rsidRPr="003D7EA1" w:rsidRDefault="00135F1C" w:rsidP="00C17DB5">
      <w:pPr>
        <w:pStyle w:val="a7"/>
        <w:jc w:val="left"/>
      </w:pPr>
      <w:r w:rsidRPr="003D7EA1">
        <w:rPr>
          <w:rStyle w:val="a5"/>
        </w:rPr>
        <w:footnoteRef/>
      </w:r>
      <w:r>
        <w:t xml:space="preserve"> Hans Schlappa and William Neil, June </w:t>
      </w:r>
      <w:r w:rsidRPr="003D7EA1">
        <w:t>2013</w:t>
      </w:r>
      <w:r>
        <w:t xml:space="preserve"> in Thematic report </w:t>
      </w:r>
      <w:r w:rsidRPr="003D7EA1">
        <w:t xml:space="preserve"> </w:t>
      </w:r>
      <w:r>
        <w:t>‘</w:t>
      </w:r>
      <w:r w:rsidRPr="0009428D">
        <w:t>Cities of Tomorr</w:t>
      </w:r>
      <w:r>
        <w:t xml:space="preserve">ow, Action Today: </w:t>
      </w:r>
      <w:r w:rsidRPr="003D7EA1">
        <w:t>From crisis to choice re-imagining the future in Shrinking Cities</w:t>
      </w:r>
      <w:r>
        <w:t xml:space="preserve">:’’ </w:t>
      </w:r>
      <w:hyperlink r:id="rId8" w:history="1">
        <w:r w:rsidRPr="003D7EA1">
          <w:rPr>
            <w:rStyle w:val="af5"/>
          </w:rPr>
          <w:t>http://urbact.eu/fileadmin/general_library/19765_Urbact_WS1_SHRINKING_low_FINAL.pdf</w:t>
        </w:r>
      </w:hyperlink>
    </w:p>
  </w:footnote>
  <w:footnote w:id="15">
    <w:p w:rsidR="00135F1C" w:rsidRPr="003D7EA1" w:rsidRDefault="00135F1C" w:rsidP="00C17DB5">
      <w:pPr>
        <w:pStyle w:val="a7"/>
      </w:pPr>
      <w:r w:rsidRPr="003D7EA1">
        <w:rPr>
          <w:rStyle w:val="a5"/>
        </w:rPr>
        <w:footnoteRef/>
      </w:r>
      <w:r w:rsidRPr="003D7EA1">
        <w:t xml:space="preserve"> </w:t>
      </w:r>
      <w:r w:rsidRPr="00C3213F">
        <w:rPr>
          <w:lang w:val="en-US"/>
        </w:rPr>
        <w:t xml:space="preserve">In </w:t>
      </w:r>
      <w:r w:rsidRPr="00073BAA">
        <w:t xml:space="preserve">the European Union the size of the working age population (age group 15-64) was 328 million in 2005. This group [according to forecasts] will start to shrink after the year 2015 reaching 314 million in </w:t>
      </w:r>
      <w:r>
        <w:t xml:space="preserve">2025 and 268 million in 2050. </w:t>
      </w:r>
      <w:r w:rsidRPr="00073BAA">
        <w:t xml:space="preserve">At constant labour force participation rates the number of economically active people would shrink from 235 to 188 million in 2050. In the absence of any international migration this decline would be even larger. (Source, </w:t>
      </w:r>
      <w:hyperlink r:id="rId9" w:history="1">
        <w:r w:rsidRPr="00073BAA">
          <w:t xml:space="preserve"> Rainer Munz, 2007 ‘Europe: Population change and its consequences. An overview’</w:t>
        </w:r>
        <w:r w:rsidRPr="00073BAA">
          <w:rPr>
            <w:rStyle w:val="af5"/>
          </w:rPr>
          <w:t xml:space="preserve"> tp://www.berlin-institut.org/online-handbuchdemografie/bevoelkerungsdynamik/regionale-dynamik/europa.html</w:t>
        </w:r>
      </w:hyperlink>
      <w:r>
        <w:t>)</w:t>
      </w:r>
    </w:p>
  </w:footnote>
  <w:footnote w:id="16">
    <w:p w:rsidR="00135F1C" w:rsidRPr="00C17DB5" w:rsidRDefault="00135F1C" w:rsidP="00C17DB5">
      <w:pPr>
        <w:rPr>
          <w:sz w:val="20"/>
          <w:szCs w:val="20"/>
        </w:rPr>
      </w:pPr>
      <w:r w:rsidRPr="0009428D">
        <w:rPr>
          <w:rStyle w:val="a5"/>
          <w:rFonts w:eastAsia="SimSun"/>
          <w:sz w:val="20"/>
          <w:szCs w:val="20"/>
        </w:rPr>
        <w:footnoteRef/>
      </w:r>
      <w:r w:rsidRPr="00C17DB5">
        <w:rPr>
          <w:sz w:val="20"/>
          <w:szCs w:val="20"/>
        </w:rPr>
        <w:t xml:space="preserve"> In a number of different types of cities from Northern, Southern and Western Europe, urban employment rates are below the national averages. With regard to social cohesion, an urban paradox is therefore apparent in that the employment rates of the resident population are relatively low in many cities, i.e. in those places where jobs are concentrated” (Source: RWI et al  2010 ‘The Second  State of European Cities’ DG Regio </w:t>
      </w:r>
      <w:hyperlink r:id="rId10" w:history="1">
        <w:r w:rsidRPr="00C17DB5">
          <w:rPr>
            <w:rStyle w:val="af5"/>
            <w:szCs w:val="20"/>
          </w:rPr>
          <w:t>http://ec.europa.eu/regional_policy/sources/docgener/studies/pdf/urban/stateofcities_2010.pdf</w:t>
        </w:r>
      </w:hyperlink>
    </w:p>
  </w:footnote>
  <w:footnote w:id="17">
    <w:p w:rsidR="00135F1C" w:rsidRPr="0009428D" w:rsidRDefault="00135F1C" w:rsidP="00DA75CF">
      <w:pPr>
        <w:pStyle w:val="a7"/>
      </w:pPr>
      <w:r w:rsidRPr="0009428D">
        <w:rPr>
          <w:rStyle w:val="a5"/>
        </w:rPr>
        <w:footnoteRef/>
      </w:r>
      <w:r w:rsidRPr="0009428D">
        <w:t xml:space="preserve"> </w:t>
      </w:r>
      <w:r w:rsidRPr="000B5167">
        <w:t xml:space="preserve">European Union Regional Policy </w:t>
      </w:r>
      <w:r>
        <w:t>2011 “</w:t>
      </w:r>
      <w:r w:rsidRPr="000B5167">
        <w:t>Cities of Tomorrow: challenges, visions, ways forward</w:t>
      </w:r>
      <w:r>
        <w:t>”, p.22-26 (</w:t>
      </w:r>
      <w:hyperlink r:id="rId11" w:history="1">
        <w:r w:rsidRPr="00FA277C">
          <w:rPr>
            <w:rStyle w:val="af5"/>
          </w:rPr>
          <w:t>http://ec.europa.eu/regional_policy/sources/docgener/studies/pdf/citiesoftomorrow/citiesoftomorrow_final</w:t>
        </w:r>
      </w:hyperlink>
      <w:r>
        <w:t>.p</w:t>
      </w:r>
      <w:r w:rsidRPr="000B5167">
        <w:t xml:space="preserve">df </w:t>
      </w:r>
      <w:r>
        <w:t>)</w:t>
      </w:r>
    </w:p>
  </w:footnote>
  <w:footnote w:id="18">
    <w:p w:rsidR="00135F1C" w:rsidRDefault="00135F1C" w:rsidP="00DA75CF">
      <w:pPr>
        <w:pStyle w:val="a7"/>
      </w:pPr>
      <w:r>
        <w:rPr>
          <w:rStyle w:val="a5"/>
        </w:rPr>
        <w:footnoteRef/>
      </w:r>
      <w:r>
        <w:t xml:space="preserve"> Eddy Adams and Robert Arnkil, </w:t>
      </w:r>
      <w:r w:rsidRPr="0009428D">
        <w:t xml:space="preserve">URBACT II June 2013 </w:t>
      </w:r>
      <w:r>
        <w:t xml:space="preserve">in </w:t>
      </w:r>
      <w:r w:rsidRPr="0009428D">
        <w:t>T</w:t>
      </w:r>
      <w:r>
        <w:t>hematic report “</w:t>
      </w:r>
      <w:r w:rsidRPr="0009428D">
        <w:t>Cities of Tomorr</w:t>
      </w:r>
      <w:r>
        <w:t>ow, Action Today: supporting urban youth through social innovation: stronger together”:</w:t>
      </w:r>
    </w:p>
    <w:p w:rsidR="00135F1C" w:rsidRPr="000955BC" w:rsidRDefault="00135F1C" w:rsidP="00DA75CF">
      <w:pPr>
        <w:pStyle w:val="a7"/>
      </w:pPr>
      <w:r>
        <w:t xml:space="preserve"> </w:t>
      </w:r>
      <w:hyperlink r:id="rId12" w:history="1">
        <w:r w:rsidRPr="00777904">
          <w:rPr>
            <w:rStyle w:val="af5"/>
          </w:rPr>
          <w:t>http://urbact.eu/fileadmin/general_library/19765_Urbact_WS3_YOUTH_low_Final.pdf</w:t>
        </w:r>
      </w:hyperlink>
      <w:r>
        <w:t xml:space="preserve">   </w:t>
      </w:r>
    </w:p>
  </w:footnote>
  <w:footnote w:id="19">
    <w:p w:rsidR="00135F1C" w:rsidRDefault="00135F1C" w:rsidP="00C17DB5">
      <w:pPr>
        <w:pStyle w:val="a7"/>
      </w:pPr>
      <w:r w:rsidRPr="0009428D">
        <w:rPr>
          <w:rStyle w:val="a5"/>
        </w:rPr>
        <w:footnoteRef/>
      </w:r>
      <w:r w:rsidRPr="00A27A11">
        <w:t xml:space="preserve"> Laura Colini, Darinka Czischke, Simon Güntner, </w:t>
      </w:r>
      <w:r>
        <w:t xml:space="preserve">Iván Tosics and Peter Ramsden, </w:t>
      </w:r>
      <w:r w:rsidRPr="0009428D">
        <w:t xml:space="preserve">URBACT II June 2013 </w:t>
      </w:r>
      <w:r>
        <w:t xml:space="preserve">in </w:t>
      </w:r>
      <w:r w:rsidRPr="0009428D">
        <w:t>T</w:t>
      </w:r>
      <w:r>
        <w:t>hematic report “</w:t>
      </w:r>
      <w:r w:rsidRPr="0009428D">
        <w:t>Cities of Tomorr</w:t>
      </w:r>
      <w:r>
        <w:t>ow, Action Today: Against divided cities in Europe”</w:t>
      </w:r>
      <w:r w:rsidRPr="0009428D">
        <w:t>:</w:t>
      </w:r>
    </w:p>
    <w:p w:rsidR="00135F1C" w:rsidRPr="00A27A11" w:rsidRDefault="00135F1C" w:rsidP="00C17DB5">
      <w:pPr>
        <w:pStyle w:val="a7"/>
      </w:pPr>
      <w:r w:rsidRPr="00A27A11">
        <w:rPr>
          <w:lang w:val="en-US"/>
        </w:rPr>
        <w:t>http://urbact.eu/fileadmin/general_library/19765_Urbact_WS4_DIVIDED_low_FINAL.pdf</w:t>
      </w:r>
    </w:p>
  </w:footnote>
  <w:footnote w:id="20">
    <w:p w:rsidR="00135F1C" w:rsidRPr="0009428D" w:rsidRDefault="00135F1C" w:rsidP="00C17DB5">
      <w:pPr>
        <w:pStyle w:val="a7"/>
      </w:pPr>
      <w:r w:rsidRPr="0009428D">
        <w:rPr>
          <w:rStyle w:val="a5"/>
        </w:rPr>
        <w:footnoteRef/>
      </w:r>
      <w:r w:rsidRPr="0009428D">
        <w:t xml:space="preserve"> </w:t>
      </w:r>
      <w:r>
        <w:t xml:space="preserve">Fabrizio Barca 2009 An Agenda for a reformed cohesion policy: a place based approach for meeting European Union challenges and expectations, DG REGIO </w:t>
      </w:r>
      <w:hyperlink r:id="rId13" w:history="1">
        <w:r w:rsidRPr="00017FC9">
          <w:rPr>
            <w:color w:val="0000FF"/>
            <w:sz w:val="22"/>
            <w:szCs w:val="22"/>
            <w:u w:val="single"/>
            <w:lang w:eastAsia="en-US"/>
          </w:rPr>
          <w:t>http://ec.europa.eu/regional_policy/archive/policy/future/barca_en.htm</w:t>
        </w:r>
      </w:hyperlink>
    </w:p>
  </w:footnote>
  <w:footnote w:id="21">
    <w:p w:rsidR="00135F1C" w:rsidRPr="0009428D" w:rsidRDefault="00135F1C" w:rsidP="00C17DB5">
      <w:pPr>
        <w:pStyle w:val="a7"/>
        <w:jc w:val="left"/>
      </w:pPr>
      <w:r w:rsidRPr="0009428D">
        <w:rPr>
          <w:rStyle w:val="a5"/>
        </w:rPr>
        <w:footnoteRef/>
      </w:r>
      <w:r w:rsidRPr="0009428D">
        <w:t xml:space="preserve"> Ecorys, 20</w:t>
      </w:r>
      <w:r>
        <w:t>11</w:t>
      </w:r>
      <w:r w:rsidRPr="0009428D">
        <w:t xml:space="preserve"> Mid-term</w:t>
      </w:r>
      <w:r>
        <w:t xml:space="preserve"> evaluation of URBACT II </w:t>
      </w:r>
      <w:hyperlink r:id="rId14" w:history="1">
        <w:r w:rsidRPr="0009428D">
          <w:rPr>
            <w:rStyle w:val="af5"/>
          </w:rPr>
          <w:t>http://urbact.eu/fileadmin/general_library/URBACT_II_Final_Report_3_June.pdf</w:t>
        </w:r>
      </w:hyperlink>
    </w:p>
  </w:footnote>
  <w:footnote w:id="22">
    <w:p w:rsidR="00135F1C" w:rsidRPr="00AD483C" w:rsidRDefault="00135F1C" w:rsidP="00C17DB5">
      <w:pPr>
        <w:pStyle w:val="a7"/>
      </w:pPr>
      <w:r>
        <w:rPr>
          <w:rStyle w:val="a5"/>
        </w:rPr>
        <w:footnoteRef/>
      </w:r>
      <w:r>
        <w:t xml:space="preserve"> Joint Programming Working Group for the preparation of URBACT III. December 2012. Questionnaire for the collection of inputs by Member States: Comments and proposals of cities. (unpublished paper)</w:t>
      </w:r>
    </w:p>
  </w:footnote>
  <w:footnote w:id="23">
    <w:p w:rsidR="00135F1C" w:rsidRPr="00FB4A24" w:rsidRDefault="00135F1C">
      <w:pPr>
        <w:pStyle w:val="bodytext"/>
        <w:shd w:val="clear" w:color="auto" w:fill="FFFFFF"/>
        <w:spacing w:before="0" w:beforeAutospacing="0" w:after="75" w:afterAutospacing="0" w:line="210" w:lineRule="atLeast"/>
        <w:jc w:val="both"/>
        <w:rPr>
          <w:rFonts w:asciiTheme="minorHAnsi" w:hAnsiTheme="minorHAnsi" w:cs="Arial"/>
          <w:color w:val="404040"/>
          <w:sz w:val="18"/>
          <w:szCs w:val="18"/>
        </w:rPr>
      </w:pPr>
      <w:r>
        <w:rPr>
          <w:rStyle w:val="a5"/>
        </w:rPr>
        <w:footnoteRef/>
      </w:r>
      <w:r>
        <w:t xml:space="preserve"> </w:t>
      </w:r>
      <w:r w:rsidRPr="00FB4A24">
        <w:rPr>
          <w:rFonts w:asciiTheme="minorHAnsi" w:hAnsiTheme="minorHAnsi" w:cs="Arial"/>
          <w:color w:val="404040"/>
          <w:sz w:val="20"/>
          <w:szCs w:val="20"/>
        </w:rPr>
        <w:t>Every city partner in an URBACT network is required to set up an URBACT Local Support Group (ULSG) that brings together all relevant stakeholders having a stake in the policy challenge addressed by the city (e.g. youth unemployment, regeneration of deprived neighbourhood, energy-efficiency in housing, etc.).</w:t>
      </w:r>
    </w:p>
  </w:footnote>
  <w:footnote w:id="24">
    <w:p w:rsidR="00135F1C" w:rsidRPr="000B5167" w:rsidRDefault="00135F1C" w:rsidP="00C17DB5">
      <w:pPr>
        <w:pStyle w:val="a7"/>
      </w:pPr>
      <w:r w:rsidRPr="000B5167">
        <w:rPr>
          <w:rStyle w:val="a5"/>
        </w:rPr>
        <w:footnoteRef/>
      </w:r>
      <w:r w:rsidRPr="000B5167">
        <w:t xml:space="preserve"> Pilot training activities have been launched by URBACT II </w:t>
      </w:r>
      <w:r>
        <w:t>in national languages</w:t>
      </w:r>
      <w:r w:rsidRPr="000B5167">
        <w:t xml:space="preserve"> for</w:t>
      </w:r>
      <w:r>
        <w:t xml:space="preserve"> members of</w:t>
      </w:r>
      <w:r w:rsidRPr="000B5167">
        <w:t xml:space="preserve"> </w:t>
      </w:r>
      <w:r>
        <w:t>URBACT Local Support Groups</w:t>
      </w:r>
    </w:p>
  </w:footnote>
  <w:footnote w:id="25">
    <w:p w:rsidR="00135F1C" w:rsidRPr="000B5167" w:rsidRDefault="00135F1C" w:rsidP="00C17DB5">
      <w:pPr>
        <w:pStyle w:val="a7"/>
      </w:pPr>
      <w:r w:rsidRPr="000B5167">
        <w:rPr>
          <w:rStyle w:val="a5"/>
        </w:rPr>
        <w:footnoteRef/>
      </w:r>
      <w:r w:rsidRPr="000B5167">
        <w:t xml:space="preserve"> </w:t>
      </w:r>
      <w:r>
        <w:t xml:space="preserve">For example see URBACT </w:t>
      </w:r>
      <w:r w:rsidRPr="00073BAA">
        <w:t>2010</w:t>
      </w:r>
      <w:r>
        <w:t xml:space="preserve"> </w:t>
      </w:r>
      <w:r w:rsidRPr="00073BAA">
        <w:rPr>
          <w:iCs/>
        </w:rPr>
        <w:t>Cities responses to the crisis</w:t>
      </w:r>
      <w:r w:rsidRPr="00073BAA">
        <w:t>,</w:t>
      </w:r>
      <w:r>
        <w:t xml:space="preserve"> URBACT</w:t>
      </w:r>
      <w:r w:rsidRPr="00073BAA">
        <w:t xml:space="preserve"> 2011</w:t>
      </w:r>
      <w:r>
        <w:t xml:space="preserve"> </w:t>
      </w:r>
      <w:r w:rsidRPr="00073BAA">
        <w:rPr>
          <w:iCs/>
        </w:rPr>
        <w:t>URBACT results</w:t>
      </w:r>
      <w:r w:rsidRPr="00073BAA">
        <w:t xml:space="preserve">, </w:t>
      </w:r>
      <w:r>
        <w:t xml:space="preserve">URBACT 2013 </w:t>
      </w:r>
      <w:r w:rsidRPr="00073BAA">
        <w:rPr>
          <w:bCs/>
          <w:iCs/>
        </w:rPr>
        <w:t>Cities of Tomorrow - Action Today</w:t>
      </w:r>
    </w:p>
    <w:p w:rsidR="00135F1C" w:rsidRPr="000B5167" w:rsidRDefault="00135F1C" w:rsidP="00C17DB5">
      <w:pPr>
        <w:pStyle w:val="a7"/>
      </w:pPr>
    </w:p>
  </w:footnote>
  <w:footnote w:id="26">
    <w:p w:rsidR="00135F1C" w:rsidRPr="000565D8" w:rsidRDefault="00135F1C" w:rsidP="00E21452">
      <w:pPr>
        <w:rPr>
          <w:rFonts w:ascii="Verdana" w:hAnsi="Verdana"/>
          <w:sz w:val="18"/>
          <w:szCs w:val="18"/>
        </w:rPr>
      </w:pPr>
      <w:r w:rsidRPr="000565D8">
        <w:rPr>
          <w:rStyle w:val="a5"/>
          <w:rFonts w:ascii="Verdana" w:eastAsia="Calibri" w:hAnsi="Verdana"/>
          <w:sz w:val="18"/>
          <w:szCs w:val="18"/>
        </w:rPr>
        <w:footnoteRef/>
      </w:r>
      <w:r w:rsidRPr="000565D8">
        <w:rPr>
          <w:rFonts w:ascii="Verdana" w:hAnsi="Verdana"/>
          <w:sz w:val="18"/>
          <w:szCs w:val="18"/>
          <w:vertAlign w:val="superscript"/>
        </w:rPr>
        <w:t xml:space="preserve"> </w:t>
      </w:r>
      <w:r w:rsidRPr="000565D8">
        <w:rPr>
          <w:rFonts w:ascii="Verdana" w:hAnsi="Verdana"/>
          <w:sz w:val="18"/>
          <w:szCs w:val="18"/>
        </w:rPr>
        <w:t>Target values can be qualitative or quantitative.</w:t>
      </w:r>
    </w:p>
  </w:footnote>
  <w:footnote w:id="27">
    <w:p w:rsidR="00135F1C" w:rsidRDefault="00135F1C">
      <w:pPr>
        <w:pStyle w:val="a7"/>
      </w:pPr>
      <w:r>
        <w:rPr>
          <w:rStyle w:val="a5"/>
        </w:rPr>
        <w:footnoteRef/>
      </w:r>
      <w:r>
        <w:t xml:space="preserve"> The URBACT method is a multi-stakeholder action planning methodology set out in the URBACT local support group toolkit 2013  </w:t>
      </w:r>
      <w:r w:rsidRPr="002743BC">
        <w:t>http://urbact.eu/fileadmin/general_library/URBACT_Toolkit_online_4.pdf</w:t>
      </w:r>
    </w:p>
  </w:footnote>
  <w:footnote w:id="28">
    <w:p w:rsidR="00135F1C" w:rsidRPr="00B36F72" w:rsidRDefault="00135F1C" w:rsidP="00E21452">
      <w:pPr>
        <w:pStyle w:val="a7"/>
        <w:rPr>
          <w:lang w:val="en-US"/>
        </w:rPr>
      </w:pPr>
      <w:r>
        <w:rPr>
          <w:rStyle w:val="a5"/>
        </w:rPr>
        <w:footnoteRef/>
      </w:r>
      <w:r>
        <w:t xml:space="preserve"> </w:t>
      </w:r>
      <w:r>
        <w:rPr>
          <w:lang w:val="en-US"/>
        </w:rPr>
        <w:t>Assuming that n</w:t>
      </w:r>
      <w:r w:rsidRPr="00B36F72">
        <w:rPr>
          <w:lang w:val="en-US"/>
        </w:rPr>
        <w:t>ot all partners of action-planning and implementation networks</w:t>
      </w:r>
      <w:r>
        <w:rPr>
          <w:lang w:val="en-US"/>
        </w:rPr>
        <w:t xml:space="preserve"> will be cities.</w:t>
      </w:r>
    </w:p>
  </w:footnote>
  <w:footnote w:id="29">
    <w:p w:rsidR="00135F1C" w:rsidRDefault="00135F1C">
      <w:pPr>
        <w:pStyle w:val="a7"/>
      </w:pPr>
      <w:r>
        <w:rPr>
          <w:rStyle w:val="a5"/>
        </w:rPr>
        <w:footnoteRef/>
      </w:r>
      <w:r>
        <w:t xml:space="preserve"> A milestone in implementation would be defined as: all funding secured and committed, all consents (planning permissions etc.) in place, key phases completed, for revenue projects the staff were recruited, cruising velocity of project achieved, monitoring framework developed. </w:t>
      </w:r>
    </w:p>
  </w:footnote>
  <w:footnote w:id="30">
    <w:p w:rsidR="00135F1C" w:rsidRPr="00B36F72" w:rsidRDefault="00135F1C" w:rsidP="00E21452">
      <w:pPr>
        <w:pStyle w:val="a7"/>
        <w:rPr>
          <w:lang w:val="en-US"/>
        </w:rPr>
      </w:pPr>
      <w:r>
        <w:rPr>
          <w:rStyle w:val="a5"/>
        </w:rPr>
        <w:footnoteRef/>
      </w:r>
      <w:r>
        <w:t xml:space="preserve"> </w:t>
      </w:r>
      <w:r>
        <w:rPr>
          <w:lang w:val="en-US"/>
        </w:rPr>
        <w:t>Assuming that n</w:t>
      </w:r>
      <w:r w:rsidRPr="00B36F72">
        <w:rPr>
          <w:lang w:val="en-US"/>
        </w:rPr>
        <w:t>ot all partners of action-planning and implementation networks</w:t>
      </w:r>
      <w:r>
        <w:rPr>
          <w:lang w:val="en-US"/>
        </w:rPr>
        <w:t xml:space="preserve"> will be cities.</w:t>
      </w:r>
    </w:p>
  </w:footnote>
  <w:footnote w:id="31">
    <w:p w:rsidR="00135F1C" w:rsidRDefault="00135F1C">
      <w:pPr>
        <w:pStyle w:val="a7"/>
      </w:pPr>
      <w:r>
        <w:rPr>
          <w:rStyle w:val="a5"/>
        </w:rPr>
        <w:footnoteRef/>
      </w:r>
      <w:r>
        <w:t xml:space="preserve"> Re-use is defined as the design and commencement of the new practice in the receiving city.  For example it could be the establishment of a new agency </w:t>
      </w:r>
    </w:p>
  </w:footnote>
  <w:footnote w:id="32">
    <w:p w:rsidR="00135F1C" w:rsidRDefault="00135F1C">
      <w:pPr>
        <w:pStyle w:val="a7"/>
      </w:pPr>
      <w:r>
        <w:rPr>
          <w:rStyle w:val="a5"/>
        </w:rPr>
        <w:footnoteRef/>
      </w:r>
      <w:r>
        <w:t xml:space="preserve"> Good practices are those that have been independently evaluated and demonstrated to achieve better results than equivalent projects within the same field and/or have been cited as good practices in good practice collections using a rigorous methodology (for example the EU 50 urban cases study).  Emerging good practices may also be considered for transfer where early results suggest that the practice is promising and where URBACT case study research validates the practice.  It should be noted that even good practices are only good in parts.</w:t>
      </w:r>
    </w:p>
  </w:footnote>
  <w:footnote w:id="33">
    <w:p w:rsidR="00135F1C" w:rsidRPr="00455D04" w:rsidRDefault="00135F1C" w:rsidP="004B01BB">
      <w:pPr>
        <w:pStyle w:val="a7"/>
      </w:pPr>
      <w:r w:rsidRPr="00744982">
        <w:rPr>
          <w:rStyle w:val="a5"/>
        </w:rPr>
        <w:footnoteRef/>
      </w:r>
      <w:r w:rsidRPr="00744982">
        <w:t xml:space="preserve"> The Reference Framework for European Sustainable Cities (RFSC) is an online toolkit designed to help cities promote and enhance their work on integrated sustainable urban development. It is available free of charge to all European local authorities and offers practical support in integrating sustainability principles into local policies and actions.</w:t>
      </w:r>
    </w:p>
  </w:footnote>
  <w:footnote w:id="34">
    <w:p w:rsidR="00135F1C" w:rsidRPr="0001288C" w:rsidRDefault="00135F1C" w:rsidP="00F24251">
      <w:pPr>
        <w:pStyle w:val="a7"/>
      </w:pPr>
      <w:r w:rsidRPr="0001288C">
        <w:rPr>
          <w:rStyle w:val="a5"/>
        </w:rPr>
        <w:footnoteRef/>
      </w:r>
      <w:r>
        <w:t xml:space="preserve"> </w:t>
      </w:r>
      <w:r w:rsidRPr="0001288C">
        <w:t xml:space="preserve">Based on EU Public Procurement Law, </w:t>
      </w:r>
      <w:r w:rsidRPr="0001288C">
        <w:rPr>
          <w:b/>
        </w:rPr>
        <w:t>public equivalent body</w:t>
      </w:r>
      <w:r w:rsidRPr="0001288C">
        <w:t xml:space="preserve"> refers to any legal body governed by public or private law :</w:t>
      </w:r>
    </w:p>
    <w:p w:rsidR="00135F1C" w:rsidRPr="0001288C" w:rsidRDefault="00135F1C" w:rsidP="00192BF2">
      <w:pPr>
        <w:pStyle w:val="a7"/>
        <w:ind w:left="708"/>
      </w:pPr>
      <w:r w:rsidRPr="0001288C">
        <w:t>1. established for the specific purpose of meeting needs in the general interest, not having an industrial or commercial character (which does not exclude bodies partly having an industrial or commercial character), and</w:t>
      </w:r>
    </w:p>
    <w:p w:rsidR="00135F1C" w:rsidRPr="0001288C" w:rsidRDefault="00135F1C" w:rsidP="00192BF2">
      <w:pPr>
        <w:pStyle w:val="a7"/>
        <w:ind w:left="708"/>
      </w:pPr>
      <w:r w:rsidRPr="0001288C">
        <w:t>2. having legal personality, and</w:t>
      </w:r>
    </w:p>
    <w:p w:rsidR="00135F1C" w:rsidRPr="0001288C" w:rsidRDefault="00135F1C" w:rsidP="00192BF2">
      <w:pPr>
        <w:pStyle w:val="a7"/>
        <w:ind w:left="708"/>
      </w:pPr>
      <w:r w:rsidRPr="0001288C">
        <w:t>3. a) either financed, for the most part, by the State, or regional or local authorities, or other bodies governed by public law,</w:t>
      </w:r>
    </w:p>
    <w:p w:rsidR="00135F1C" w:rsidRPr="0001288C" w:rsidRDefault="00135F1C" w:rsidP="00192BF2">
      <w:pPr>
        <w:pStyle w:val="a7"/>
        <w:ind w:left="708"/>
      </w:pPr>
      <w:r w:rsidRPr="0001288C">
        <w:t>b) or subject to management supervision by those bodies,</w:t>
      </w:r>
    </w:p>
    <w:p w:rsidR="00135F1C" w:rsidRPr="004A19A1" w:rsidRDefault="00135F1C" w:rsidP="00192BF2">
      <w:pPr>
        <w:pStyle w:val="a7"/>
        <w:ind w:left="708"/>
        <w:rPr>
          <w:lang w:val="en-US"/>
        </w:rPr>
      </w:pPr>
      <w:r w:rsidRPr="0001288C">
        <w:t>c) or having an administrative, managerial or supervisory board, more than half of whose members are appointed by the State, regional or local authorities or by other bodies governed by public law.”</w:t>
      </w:r>
    </w:p>
  </w:footnote>
  <w:footnote w:id="35">
    <w:p w:rsidR="00135F1C" w:rsidRPr="003C0C69" w:rsidRDefault="00135F1C" w:rsidP="00E21452">
      <w:pPr>
        <w:pStyle w:val="a7"/>
      </w:pPr>
      <w:r>
        <w:rPr>
          <w:rStyle w:val="a5"/>
        </w:rPr>
        <w:footnoteRef/>
      </w:r>
      <w:r>
        <w:t xml:space="preserve"> For a part of the urban Strategy/action plan of the city, a decision of financing has already been taken by a public or private body</w:t>
      </w:r>
    </w:p>
  </w:footnote>
  <w:footnote w:id="36">
    <w:p w:rsidR="00135F1C" w:rsidRPr="00155DD3" w:rsidRDefault="00135F1C" w:rsidP="00155DD3">
      <w:pPr>
        <w:pStyle w:val="a7"/>
      </w:pPr>
      <w:r w:rsidRPr="0001288C">
        <w:rPr>
          <w:rStyle w:val="a5"/>
        </w:rPr>
        <w:footnoteRef/>
      </w:r>
      <w:r>
        <w:t xml:space="preserve"> </w:t>
      </w:r>
      <w:r w:rsidRPr="0001288C">
        <w:t xml:space="preserve">Based on EU Public Procurement </w:t>
      </w:r>
      <w:r w:rsidRPr="00155DD3">
        <w:t>Law, see footnote 35</w:t>
      </w:r>
    </w:p>
    <w:p w:rsidR="00135F1C" w:rsidRPr="004A19A1" w:rsidRDefault="00135F1C" w:rsidP="00A22F16">
      <w:pPr>
        <w:pStyle w:val="a7"/>
        <w:rPr>
          <w:lang w:val="en-US"/>
        </w:rPr>
      </w:pPr>
    </w:p>
  </w:footnote>
  <w:footnote w:id="37">
    <w:p w:rsidR="00135F1C" w:rsidRDefault="00135F1C">
      <w:pPr>
        <w:pStyle w:val="a7"/>
      </w:pPr>
      <w:r>
        <w:rPr>
          <w:rStyle w:val="a5"/>
        </w:rPr>
        <w:footnoteRef/>
      </w:r>
      <w:r>
        <w:t xml:space="preserve"> </w:t>
      </w:r>
      <w:r w:rsidRPr="002174E0">
        <w:rPr>
          <w:bCs/>
          <w:i/>
        </w:rPr>
        <w:t>Regulation (EU) No 1301/2013 on the European Regional Development Fund and</w:t>
      </w:r>
    </w:p>
  </w:footnote>
  <w:footnote w:id="38">
    <w:p w:rsidR="00135F1C" w:rsidRPr="001323B4" w:rsidRDefault="00135F1C" w:rsidP="00FF01A8">
      <w:pPr>
        <w:pStyle w:val="a7"/>
      </w:pPr>
      <w:r w:rsidRPr="009227D7">
        <w:rPr>
          <w:rStyle w:val="a5"/>
        </w:rPr>
        <w:footnoteRef/>
      </w:r>
      <w:r w:rsidRPr="009227D7">
        <w:t xml:space="preserve"> </w:t>
      </w:r>
      <w:r w:rsidRPr="001323B4">
        <w:t xml:space="preserve">Article 32-33-34,  REGULATION (EU) No 1303/2013 OF THE EUROPEAN PARLIAMENT AND OF THE COUNCIL </w:t>
      </w:r>
    </w:p>
    <w:p w:rsidR="00135F1C" w:rsidRPr="001323B4" w:rsidRDefault="00135F1C" w:rsidP="00FF01A8">
      <w:pPr>
        <w:pStyle w:val="a7"/>
      </w:pPr>
      <w:r w:rsidRPr="001323B4">
        <w:t xml:space="preserve">of 17 December 2013 laying down common provisions on the ERDF, ESF, CF, EAFRD and EMFF and laying down general provisions on the ERDF, ESF, CF, EAFRD and EMFF and repealing Council Regulation (EC) No 1083/2006 </w:t>
      </w:r>
      <w:r w:rsidRPr="001323B4">
        <w:cr/>
        <w:t>http://new.eur-lex.europa.eu/legal-content/EN/TXT/PDF/?uri=CELEX:32013R1303&amp;from=EN</w:t>
      </w:r>
    </w:p>
  </w:footnote>
  <w:footnote w:id="39">
    <w:p w:rsidR="00135F1C" w:rsidRPr="00D145DE" w:rsidRDefault="00135F1C" w:rsidP="00FF01A8">
      <w:pPr>
        <w:pStyle w:val="a7"/>
      </w:pPr>
      <w:r>
        <w:rPr>
          <w:rStyle w:val="a5"/>
        </w:rPr>
        <w:footnoteRef/>
      </w:r>
      <w:r w:rsidRPr="00E91380">
        <w:t xml:space="preserve"> </w:t>
      </w:r>
      <w:r w:rsidRPr="00D145DE">
        <w:t xml:space="preserve">Article </w:t>
      </w:r>
      <w:r>
        <w:t xml:space="preserve">36, </w:t>
      </w:r>
      <w:r w:rsidRPr="00D145DE">
        <w:t xml:space="preserve"> REGULATION (EU) No 1303/2013 OF THE EUROPEAN PARLIAMENT AND OF THE COUNCIL </w:t>
      </w:r>
    </w:p>
    <w:p w:rsidR="00135F1C" w:rsidRPr="00E91380" w:rsidRDefault="00135F1C" w:rsidP="00FF01A8">
      <w:pPr>
        <w:pStyle w:val="a7"/>
      </w:pPr>
      <w:r>
        <w:t xml:space="preserve">of 17 December 2013 </w:t>
      </w:r>
      <w:r w:rsidRPr="00D145DE">
        <w:t>laying down co</w:t>
      </w:r>
      <w:r>
        <w:t>mmon provisions on the ERDF, ESF, CF, EAFRD and EMFF</w:t>
      </w:r>
      <w:r w:rsidRPr="00D145DE">
        <w:t xml:space="preserve"> and laying down general provisions on </w:t>
      </w:r>
      <w:r>
        <w:t>the ERDF, ESF, CF, EAFRD and EMFF</w:t>
      </w:r>
      <w:r w:rsidRPr="00D145DE">
        <w:t xml:space="preserve"> and repealing Council Regulation (EC) No 1083/2006 </w:t>
      </w:r>
      <w:r w:rsidRPr="00D145DE">
        <w:cr/>
        <w:t>http://new.eur-lex.europa.eu/legal-content/EN/TXT/PDF/?uri=CELEX:32013R1303&amp;from=EN</w:t>
      </w:r>
    </w:p>
  </w:footnote>
  <w:footnote w:id="40">
    <w:p w:rsidR="00403EA5" w:rsidRPr="009F79FC" w:rsidRDefault="00403EA5" w:rsidP="00403EA5">
      <w:pPr>
        <w:pStyle w:val="a7"/>
        <w:rPr>
          <w:lang w:val="en-US"/>
        </w:rPr>
      </w:pPr>
      <w:r>
        <w:rPr>
          <w:rStyle w:val="a5"/>
        </w:rPr>
        <w:footnoteRef/>
      </w:r>
      <w:r>
        <w:t xml:space="preserve"> </w:t>
      </w:r>
      <w:r w:rsidRPr="005E478B">
        <w:rPr>
          <w:rFonts w:ascii="Verdana" w:hAnsi="Verdana"/>
          <w:sz w:val="18"/>
          <w:szCs w:val="18"/>
        </w:rPr>
        <w:t>In the case of Belgium, the duties of Member State authorities in respect of URBACT shall be fulfilled by the relevant public designated authorities. This applies to all references in this document to member-State authorities or national authorities</w:t>
      </w:r>
      <w:r w:rsidRPr="005E478B">
        <w:rPr>
          <w:rFonts w:ascii="Verdana" w:hAnsi="Verdana"/>
        </w:rPr>
        <w:t>.</w:t>
      </w:r>
    </w:p>
  </w:footnote>
  <w:footnote w:id="41">
    <w:p w:rsidR="00135F1C" w:rsidRPr="0065316E" w:rsidRDefault="00135F1C" w:rsidP="00A720B1">
      <w:pPr>
        <w:pStyle w:val="a7"/>
        <w:rPr>
          <w:lang w:val="en-US"/>
        </w:rPr>
      </w:pPr>
      <w:r w:rsidRPr="000B5167">
        <w:rPr>
          <w:rStyle w:val="a5"/>
        </w:rPr>
        <w:footnoteRef/>
      </w:r>
      <w:r w:rsidRPr="0065316E">
        <w:rPr>
          <w:lang w:val="en-US"/>
        </w:rPr>
        <w:t xml:space="preserve"> Common provision  for ERDF, ESF, CF, EAFRD, EMFF and specific regulations for  ERDF, ESF, European territorial cooperation regulations. See </w:t>
      </w:r>
      <w:hyperlink r:id="rId15" w:history="1">
        <w:r w:rsidRPr="0065316E">
          <w:rPr>
            <w:rStyle w:val="af5"/>
            <w:lang w:val="en-US"/>
          </w:rPr>
          <w:t>http://ec.europa.eu/regional_policy/what/future/index_en.cfm</w:t>
        </w:r>
      </w:hyperlink>
      <w:r w:rsidRPr="0065316E">
        <w:rPr>
          <w:lang w:val="en-US"/>
        </w:rPr>
        <w:t xml:space="preserve"> </w:t>
      </w:r>
    </w:p>
  </w:footnote>
  <w:footnote w:id="42">
    <w:p w:rsidR="00135F1C" w:rsidRPr="0065316E" w:rsidRDefault="00135F1C" w:rsidP="00A720B1">
      <w:pPr>
        <w:pStyle w:val="a7"/>
        <w:rPr>
          <w:lang w:val="en-US"/>
        </w:rPr>
      </w:pPr>
      <w:r>
        <w:rPr>
          <w:rStyle w:val="a5"/>
        </w:rPr>
        <w:footnoteRef/>
      </w:r>
      <w:r w:rsidRPr="0065316E">
        <w:rPr>
          <w:lang w:val="en-US"/>
        </w:rPr>
        <w:t xml:space="preserve">  See </w:t>
      </w:r>
      <w:hyperlink r:id="rId16" w:history="1">
        <w:r w:rsidRPr="0065316E">
          <w:rPr>
            <w:rStyle w:val="af5"/>
            <w:lang w:val="en-US"/>
          </w:rPr>
          <w:t>http://ec.europa.eu/regional_policy/what/future/index_en.cfm</w:t>
        </w:r>
      </w:hyperlink>
      <w:r w:rsidRPr="0065316E">
        <w:rPr>
          <w:lang w:val="en-US"/>
        </w:rPr>
        <w:t xml:space="preserve"> for specific provisions for the support from the European Regional Development Fund to the European territorial cooperation goal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4D17"/>
    <w:multiLevelType w:val="hybridMultilevel"/>
    <w:tmpl w:val="905CC276"/>
    <w:lvl w:ilvl="0" w:tplc="00000008">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721E08"/>
    <w:multiLevelType w:val="hybridMultilevel"/>
    <w:tmpl w:val="B1E88CCE"/>
    <w:lvl w:ilvl="0" w:tplc="5E80DAB6">
      <w:numFmt w:val="bullet"/>
      <w:lvlText w:val="•"/>
      <w:lvlJc w:val="left"/>
      <w:pPr>
        <w:ind w:left="1300" w:hanging="360"/>
      </w:pPr>
      <w:rPr>
        <w:rFonts w:ascii="Arial" w:eastAsia="SimSun" w:hAnsi="Arial" w:hint="default"/>
      </w:rPr>
    </w:lvl>
    <w:lvl w:ilvl="1" w:tplc="040C0003" w:tentative="1">
      <w:start w:val="1"/>
      <w:numFmt w:val="bullet"/>
      <w:lvlText w:val="o"/>
      <w:lvlJc w:val="left"/>
      <w:pPr>
        <w:ind w:left="2020" w:hanging="360"/>
      </w:pPr>
      <w:rPr>
        <w:rFonts w:ascii="Courier New" w:hAnsi="Courier New" w:hint="default"/>
      </w:rPr>
    </w:lvl>
    <w:lvl w:ilvl="2" w:tplc="040C0005" w:tentative="1">
      <w:start w:val="1"/>
      <w:numFmt w:val="bullet"/>
      <w:lvlText w:val=""/>
      <w:lvlJc w:val="left"/>
      <w:pPr>
        <w:ind w:left="2740" w:hanging="360"/>
      </w:pPr>
      <w:rPr>
        <w:rFonts w:ascii="Wingdings" w:hAnsi="Wingdings" w:hint="default"/>
      </w:rPr>
    </w:lvl>
    <w:lvl w:ilvl="3" w:tplc="040C0001">
      <w:start w:val="1"/>
      <w:numFmt w:val="bullet"/>
      <w:lvlText w:val=""/>
      <w:lvlJc w:val="left"/>
      <w:pPr>
        <w:ind w:left="3460" w:hanging="360"/>
      </w:pPr>
      <w:rPr>
        <w:rFonts w:ascii="Symbol" w:hAnsi="Symbol" w:hint="default"/>
      </w:rPr>
    </w:lvl>
    <w:lvl w:ilvl="4" w:tplc="040C0003" w:tentative="1">
      <w:start w:val="1"/>
      <w:numFmt w:val="bullet"/>
      <w:lvlText w:val="o"/>
      <w:lvlJc w:val="left"/>
      <w:pPr>
        <w:ind w:left="4180" w:hanging="360"/>
      </w:pPr>
      <w:rPr>
        <w:rFonts w:ascii="Courier New" w:hAnsi="Courier New" w:hint="default"/>
      </w:rPr>
    </w:lvl>
    <w:lvl w:ilvl="5" w:tplc="040C0005" w:tentative="1">
      <w:start w:val="1"/>
      <w:numFmt w:val="bullet"/>
      <w:lvlText w:val=""/>
      <w:lvlJc w:val="left"/>
      <w:pPr>
        <w:ind w:left="4900" w:hanging="360"/>
      </w:pPr>
      <w:rPr>
        <w:rFonts w:ascii="Wingdings" w:hAnsi="Wingdings" w:hint="default"/>
      </w:rPr>
    </w:lvl>
    <w:lvl w:ilvl="6" w:tplc="040C0001" w:tentative="1">
      <w:start w:val="1"/>
      <w:numFmt w:val="bullet"/>
      <w:lvlText w:val=""/>
      <w:lvlJc w:val="left"/>
      <w:pPr>
        <w:ind w:left="5620" w:hanging="360"/>
      </w:pPr>
      <w:rPr>
        <w:rFonts w:ascii="Symbol" w:hAnsi="Symbol" w:hint="default"/>
      </w:rPr>
    </w:lvl>
    <w:lvl w:ilvl="7" w:tplc="040C0003" w:tentative="1">
      <w:start w:val="1"/>
      <w:numFmt w:val="bullet"/>
      <w:lvlText w:val="o"/>
      <w:lvlJc w:val="left"/>
      <w:pPr>
        <w:ind w:left="6340" w:hanging="360"/>
      </w:pPr>
      <w:rPr>
        <w:rFonts w:ascii="Courier New" w:hAnsi="Courier New" w:hint="default"/>
      </w:rPr>
    </w:lvl>
    <w:lvl w:ilvl="8" w:tplc="040C0005" w:tentative="1">
      <w:start w:val="1"/>
      <w:numFmt w:val="bullet"/>
      <w:lvlText w:val=""/>
      <w:lvlJc w:val="left"/>
      <w:pPr>
        <w:ind w:left="7060" w:hanging="360"/>
      </w:pPr>
      <w:rPr>
        <w:rFonts w:ascii="Wingdings" w:hAnsi="Wingdings" w:hint="default"/>
      </w:rPr>
    </w:lvl>
  </w:abstractNum>
  <w:abstractNum w:abstractNumId="2">
    <w:nsid w:val="08C22B5E"/>
    <w:multiLevelType w:val="hybridMultilevel"/>
    <w:tmpl w:val="D1B0C36A"/>
    <w:lvl w:ilvl="0" w:tplc="5E80DAB6">
      <w:numFmt w:val="bullet"/>
      <w:lvlText w:val="•"/>
      <w:lvlJc w:val="left"/>
      <w:pPr>
        <w:ind w:left="720" w:hanging="360"/>
      </w:pPr>
      <w:rPr>
        <w:rFonts w:ascii="Arial" w:eastAsia="SimSu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135F08"/>
    <w:multiLevelType w:val="hybridMultilevel"/>
    <w:tmpl w:val="FB00D6BE"/>
    <w:lvl w:ilvl="0" w:tplc="5E80DAB6">
      <w:numFmt w:val="bullet"/>
      <w:lvlText w:val="•"/>
      <w:lvlJc w:val="left"/>
      <w:pPr>
        <w:ind w:left="1077" w:hanging="360"/>
      </w:pPr>
      <w:rPr>
        <w:rFonts w:ascii="Arial" w:eastAsia="SimSun" w:hAnsi="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4">
    <w:nsid w:val="098D13E8"/>
    <w:multiLevelType w:val="hybridMultilevel"/>
    <w:tmpl w:val="E34A4D6A"/>
    <w:lvl w:ilvl="0" w:tplc="5E80DAB6">
      <w:numFmt w:val="bullet"/>
      <w:lvlText w:val="•"/>
      <w:lvlJc w:val="left"/>
      <w:pPr>
        <w:ind w:left="360" w:hanging="360"/>
      </w:pPr>
      <w:rPr>
        <w:rFonts w:ascii="Arial" w:eastAsia="SimSun" w:hAnsi="Aria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5">
    <w:nsid w:val="0B917D0E"/>
    <w:multiLevelType w:val="hybridMultilevel"/>
    <w:tmpl w:val="99582EBE"/>
    <w:lvl w:ilvl="0" w:tplc="5E80DAB6">
      <w:numFmt w:val="bullet"/>
      <w:lvlText w:val="•"/>
      <w:lvlJc w:val="left"/>
      <w:pPr>
        <w:tabs>
          <w:tab w:val="num" w:pos="720"/>
        </w:tabs>
        <w:ind w:left="720" w:hanging="360"/>
      </w:pPr>
      <w:rPr>
        <w:rFonts w:ascii="Arial" w:eastAsia="SimSun" w:hAnsi="Arial"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Times New Roman" w:hint="default"/>
      </w:rPr>
    </w:lvl>
    <w:lvl w:ilvl="3" w:tplc="0001040C">
      <w:start w:val="1"/>
      <w:numFmt w:val="bullet"/>
      <w:lvlText w:val=""/>
      <w:lvlJc w:val="left"/>
      <w:pPr>
        <w:tabs>
          <w:tab w:val="num" w:pos="2880"/>
        </w:tabs>
        <w:ind w:left="2880" w:hanging="360"/>
      </w:pPr>
      <w:rPr>
        <w:rFonts w:ascii="Symbol" w:eastAsia="Times New Roman" w:hAnsi="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Times New Roman" w:hint="default"/>
      </w:rPr>
    </w:lvl>
    <w:lvl w:ilvl="6" w:tplc="0001040C">
      <w:start w:val="1"/>
      <w:numFmt w:val="bullet"/>
      <w:lvlText w:val=""/>
      <w:lvlJc w:val="left"/>
      <w:pPr>
        <w:tabs>
          <w:tab w:val="num" w:pos="5040"/>
        </w:tabs>
        <w:ind w:left="5040" w:hanging="360"/>
      </w:pPr>
      <w:rPr>
        <w:rFonts w:ascii="Symbol" w:eastAsia="Times New Roman" w:hAnsi="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Times New Roman" w:hint="default"/>
      </w:rPr>
    </w:lvl>
  </w:abstractNum>
  <w:abstractNum w:abstractNumId="6">
    <w:nsid w:val="0E4525E1"/>
    <w:multiLevelType w:val="hybridMultilevel"/>
    <w:tmpl w:val="CD00EDD6"/>
    <w:lvl w:ilvl="0" w:tplc="5E80DAB6">
      <w:numFmt w:val="bullet"/>
      <w:lvlText w:val="•"/>
      <w:lvlJc w:val="left"/>
      <w:pPr>
        <w:tabs>
          <w:tab w:val="num" w:pos="680"/>
        </w:tabs>
        <w:ind w:left="680" w:hanging="340"/>
      </w:pPr>
      <w:rPr>
        <w:rFonts w:ascii="Arial" w:eastAsia="SimSun" w:hAnsi="Arial"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
    <w:nsid w:val="0F9D26A0"/>
    <w:multiLevelType w:val="hybridMultilevel"/>
    <w:tmpl w:val="1F30EC88"/>
    <w:lvl w:ilvl="0" w:tplc="5E80DAB6">
      <w:numFmt w:val="bullet"/>
      <w:lvlText w:val="•"/>
      <w:lvlJc w:val="left"/>
      <w:pPr>
        <w:ind w:left="1440" w:hanging="360"/>
      </w:pPr>
      <w:rPr>
        <w:rFonts w:ascii="Arial" w:eastAsia="SimSun"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10F23F85"/>
    <w:multiLevelType w:val="hybridMultilevel"/>
    <w:tmpl w:val="008EA9B6"/>
    <w:lvl w:ilvl="0" w:tplc="5E80DAB6">
      <w:numFmt w:val="bullet"/>
      <w:lvlText w:val="•"/>
      <w:lvlJc w:val="left"/>
      <w:pPr>
        <w:tabs>
          <w:tab w:val="num" w:pos="720"/>
        </w:tabs>
        <w:ind w:left="720" w:hanging="360"/>
      </w:pPr>
      <w:rPr>
        <w:rFonts w:ascii="Arial" w:eastAsia="SimSun" w:hAnsi="Arial"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Times New Roman" w:hint="default"/>
      </w:rPr>
    </w:lvl>
    <w:lvl w:ilvl="3" w:tplc="0001040C">
      <w:start w:val="1"/>
      <w:numFmt w:val="bullet"/>
      <w:lvlText w:val=""/>
      <w:lvlJc w:val="left"/>
      <w:pPr>
        <w:tabs>
          <w:tab w:val="num" w:pos="2880"/>
        </w:tabs>
        <w:ind w:left="2880" w:hanging="360"/>
      </w:pPr>
      <w:rPr>
        <w:rFonts w:ascii="Symbol" w:eastAsia="Times New Roman" w:hAnsi="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Times New Roman" w:hint="default"/>
      </w:rPr>
    </w:lvl>
    <w:lvl w:ilvl="6" w:tplc="0001040C">
      <w:start w:val="1"/>
      <w:numFmt w:val="bullet"/>
      <w:lvlText w:val=""/>
      <w:lvlJc w:val="left"/>
      <w:pPr>
        <w:tabs>
          <w:tab w:val="num" w:pos="5040"/>
        </w:tabs>
        <w:ind w:left="5040" w:hanging="360"/>
      </w:pPr>
      <w:rPr>
        <w:rFonts w:ascii="Symbol" w:eastAsia="Times New Roman" w:hAnsi="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Times New Roman" w:hint="default"/>
      </w:rPr>
    </w:lvl>
  </w:abstractNum>
  <w:abstractNum w:abstractNumId="9">
    <w:nsid w:val="114F36D4"/>
    <w:multiLevelType w:val="hybridMultilevel"/>
    <w:tmpl w:val="45F2C7CA"/>
    <w:lvl w:ilvl="0" w:tplc="5E80DAB6">
      <w:numFmt w:val="bullet"/>
      <w:lvlText w:val="•"/>
      <w:lvlJc w:val="left"/>
      <w:pPr>
        <w:tabs>
          <w:tab w:val="num" w:pos="1260"/>
        </w:tabs>
        <w:ind w:left="1260" w:hanging="360"/>
      </w:pPr>
      <w:rPr>
        <w:rFonts w:ascii="Arial" w:eastAsia="SimSun" w:hAnsi="Arial" w:hint="default"/>
      </w:rPr>
    </w:lvl>
    <w:lvl w:ilvl="1" w:tplc="0003040C">
      <w:start w:val="1"/>
      <w:numFmt w:val="bullet"/>
      <w:lvlText w:val="o"/>
      <w:lvlJc w:val="left"/>
      <w:pPr>
        <w:tabs>
          <w:tab w:val="num" w:pos="1980"/>
        </w:tabs>
        <w:ind w:left="1980" w:hanging="360"/>
      </w:pPr>
      <w:rPr>
        <w:rFonts w:ascii="Courier New" w:hAnsi="Courier New" w:cs="Courier New" w:hint="default"/>
      </w:rPr>
    </w:lvl>
    <w:lvl w:ilvl="2" w:tplc="0005040C">
      <w:start w:val="1"/>
      <w:numFmt w:val="bullet"/>
      <w:lvlText w:val=""/>
      <w:lvlJc w:val="left"/>
      <w:pPr>
        <w:tabs>
          <w:tab w:val="num" w:pos="2700"/>
        </w:tabs>
        <w:ind w:left="2700" w:hanging="360"/>
      </w:pPr>
      <w:rPr>
        <w:rFonts w:ascii="Wingdings" w:hAnsi="Wingdings" w:cs="Times New Roman" w:hint="default"/>
      </w:rPr>
    </w:lvl>
    <w:lvl w:ilvl="3" w:tplc="0001040C">
      <w:start w:val="1"/>
      <w:numFmt w:val="bullet"/>
      <w:lvlText w:val=""/>
      <w:lvlJc w:val="left"/>
      <w:pPr>
        <w:tabs>
          <w:tab w:val="num" w:pos="3420"/>
        </w:tabs>
        <w:ind w:left="3420" w:hanging="360"/>
      </w:pPr>
      <w:rPr>
        <w:rFonts w:ascii="Symbol" w:eastAsia="Times New Roman" w:hAnsi="Symbol" w:hint="default"/>
      </w:rPr>
    </w:lvl>
    <w:lvl w:ilvl="4" w:tplc="0003040C">
      <w:start w:val="1"/>
      <w:numFmt w:val="bullet"/>
      <w:lvlText w:val="o"/>
      <w:lvlJc w:val="left"/>
      <w:pPr>
        <w:tabs>
          <w:tab w:val="num" w:pos="4140"/>
        </w:tabs>
        <w:ind w:left="4140" w:hanging="360"/>
      </w:pPr>
      <w:rPr>
        <w:rFonts w:ascii="Courier New" w:hAnsi="Courier New" w:cs="Courier New" w:hint="default"/>
      </w:rPr>
    </w:lvl>
    <w:lvl w:ilvl="5" w:tplc="0005040C">
      <w:start w:val="1"/>
      <w:numFmt w:val="bullet"/>
      <w:lvlText w:val=""/>
      <w:lvlJc w:val="left"/>
      <w:pPr>
        <w:tabs>
          <w:tab w:val="num" w:pos="4860"/>
        </w:tabs>
        <w:ind w:left="4860" w:hanging="360"/>
      </w:pPr>
      <w:rPr>
        <w:rFonts w:ascii="Wingdings" w:hAnsi="Wingdings" w:cs="Times New Roman" w:hint="default"/>
      </w:rPr>
    </w:lvl>
    <w:lvl w:ilvl="6" w:tplc="0001040C">
      <w:start w:val="1"/>
      <w:numFmt w:val="bullet"/>
      <w:lvlText w:val=""/>
      <w:lvlJc w:val="left"/>
      <w:pPr>
        <w:tabs>
          <w:tab w:val="num" w:pos="5580"/>
        </w:tabs>
        <w:ind w:left="5580" w:hanging="360"/>
      </w:pPr>
      <w:rPr>
        <w:rFonts w:ascii="Symbol" w:eastAsia="Times New Roman" w:hAnsi="Symbol" w:hint="default"/>
      </w:rPr>
    </w:lvl>
    <w:lvl w:ilvl="7" w:tplc="0003040C">
      <w:start w:val="1"/>
      <w:numFmt w:val="bullet"/>
      <w:lvlText w:val="o"/>
      <w:lvlJc w:val="left"/>
      <w:pPr>
        <w:tabs>
          <w:tab w:val="num" w:pos="6300"/>
        </w:tabs>
        <w:ind w:left="6300" w:hanging="360"/>
      </w:pPr>
      <w:rPr>
        <w:rFonts w:ascii="Courier New" w:hAnsi="Courier New" w:cs="Courier New" w:hint="default"/>
      </w:rPr>
    </w:lvl>
    <w:lvl w:ilvl="8" w:tplc="0005040C">
      <w:start w:val="1"/>
      <w:numFmt w:val="bullet"/>
      <w:lvlText w:val=""/>
      <w:lvlJc w:val="left"/>
      <w:pPr>
        <w:tabs>
          <w:tab w:val="num" w:pos="7020"/>
        </w:tabs>
        <w:ind w:left="7020" w:hanging="360"/>
      </w:pPr>
      <w:rPr>
        <w:rFonts w:ascii="Wingdings" w:hAnsi="Wingdings" w:cs="Times New Roman" w:hint="default"/>
      </w:rPr>
    </w:lvl>
  </w:abstractNum>
  <w:abstractNum w:abstractNumId="10">
    <w:nsid w:val="11AA5E2E"/>
    <w:multiLevelType w:val="hybridMultilevel"/>
    <w:tmpl w:val="88221414"/>
    <w:lvl w:ilvl="0" w:tplc="5E80DAB6">
      <w:numFmt w:val="bullet"/>
      <w:lvlText w:val="•"/>
      <w:lvlJc w:val="left"/>
      <w:pPr>
        <w:tabs>
          <w:tab w:val="num" w:pos="720"/>
        </w:tabs>
        <w:ind w:left="720" w:hanging="360"/>
      </w:pPr>
      <w:rPr>
        <w:rFonts w:ascii="Arial" w:eastAsia="SimSun" w:hAnsi="Arial" w:hint="default"/>
      </w:rPr>
    </w:lvl>
    <w:lvl w:ilvl="1" w:tplc="A55692A0">
      <w:start w:val="2"/>
      <w:numFmt w:val="bullet"/>
      <w:lvlText w:val="-"/>
      <w:lvlJc w:val="left"/>
      <w:pPr>
        <w:tabs>
          <w:tab w:val="num" w:pos="1440"/>
        </w:tabs>
        <w:ind w:left="1440" w:hanging="360"/>
      </w:pPr>
      <w:rPr>
        <w:rFonts w:ascii="Times New Roman" w:eastAsia="Times New Roman" w:hAnsi="Times New Roman" w:hint="default"/>
      </w:rPr>
    </w:lvl>
    <w:lvl w:ilvl="2" w:tplc="0005040C">
      <w:start w:val="1"/>
      <w:numFmt w:val="bullet"/>
      <w:lvlText w:val=""/>
      <w:lvlJc w:val="left"/>
      <w:pPr>
        <w:tabs>
          <w:tab w:val="num" w:pos="2160"/>
        </w:tabs>
        <w:ind w:left="2160" w:hanging="360"/>
      </w:pPr>
      <w:rPr>
        <w:rFonts w:ascii="Wingdings" w:hAnsi="Wingdings" w:cs="Times New Roman" w:hint="default"/>
      </w:rPr>
    </w:lvl>
    <w:lvl w:ilvl="3" w:tplc="0001040C">
      <w:start w:val="1"/>
      <w:numFmt w:val="bullet"/>
      <w:lvlText w:val=""/>
      <w:lvlJc w:val="left"/>
      <w:pPr>
        <w:tabs>
          <w:tab w:val="num" w:pos="2880"/>
        </w:tabs>
        <w:ind w:left="2880" w:hanging="360"/>
      </w:pPr>
      <w:rPr>
        <w:rFonts w:ascii="Symbol" w:eastAsia="Times New Roman" w:hAnsi="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Times New Roman" w:hint="default"/>
      </w:rPr>
    </w:lvl>
    <w:lvl w:ilvl="6" w:tplc="0001040C">
      <w:start w:val="1"/>
      <w:numFmt w:val="bullet"/>
      <w:lvlText w:val=""/>
      <w:lvlJc w:val="left"/>
      <w:pPr>
        <w:tabs>
          <w:tab w:val="num" w:pos="5040"/>
        </w:tabs>
        <w:ind w:left="5040" w:hanging="360"/>
      </w:pPr>
      <w:rPr>
        <w:rFonts w:ascii="Symbol" w:eastAsia="Times New Roman" w:hAnsi="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Times New Roman" w:hint="default"/>
      </w:rPr>
    </w:lvl>
  </w:abstractNum>
  <w:abstractNum w:abstractNumId="11">
    <w:nsid w:val="147D2332"/>
    <w:multiLevelType w:val="hybridMultilevel"/>
    <w:tmpl w:val="FC46B064"/>
    <w:lvl w:ilvl="0" w:tplc="5E80DAB6">
      <w:numFmt w:val="bullet"/>
      <w:lvlText w:val="•"/>
      <w:lvlJc w:val="left"/>
      <w:pPr>
        <w:ind w:left="720" w:hanging="360"/>
      </w:pPr>
      <w:rPr>
        <w:rFonts w:ascii="Arial" w:eastAsia="SimSu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4C16243"/>
    <w:multiLevelType w:val="hybridMultilevel"/>
    <w:tmpl w:val="E4066546"/>
    <w:lvl w:ilvl="0" w:tplc="5E80DAB6">
      <w:numFmt w:val="bullet"/>
      <w:lvlText w:val="•"/>
      <w:lvlJc w:val="left"/>
      <w:pPr>
        <w:ind w:left="1060" w:hanging="360"/>
      </w:pPr>
      <w:rPr>
        <w:rFonts w:ascii="Arial" w:eastAsia="SimSun" w:hAnsi="Aria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3">
    <w:nsid w:val="18732348"/>
    <w:multiLevelType w:val="hybridMultilevel"/>
    <w:tmpl w:val="8D5EC98A"/>
    <w:lvl w:ilvl="0" w:tplc="5E80DAB6">
      <w:numFmt w:val="bullet"/>
      <w:lvlText w:val="•"/>
      <w:lvlJc w:val="left"/>
      <w:pPr>
        <w:ind w:left="360" w:hanging="360"/>
      </w:pPr>
      <w:rPr>
        <w:rFonts w:ascii="Arial" w:eastAsia="SimSun" w:hAnsi="Aria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4">
    <w:nsid w:val="1AB13F6E"/>
    <w:multiLevelType w:val="hybridMultilevel"/>
    <w:tmpl w:val="1F521032"/>
    <w:lvl w:ilvl="0" w:tplc="AD228508">
      <w:start w:val="1"/>
      <w:numFmt w:val="bullet"/>
      <w:pStyle w:val="--"/>
      <w:lvlText w:val="-"/>
      <w:lvlJc w:val="left"/>
      <w:pPr>
        <w:tabs>
          <w:tab w:val="num" w:pos="-351"/>
        </w:tabs>
        <w:ind w:left="-351" w:hanging="360"/>
      </w:pPr>
      <w:rPr>
        <w:sz w:val="16"/>
      </w:rPr>
    </w:lvl>
    <w:lvl w:ilvl="1" w:tplc="04090003" w:tentative="1">
      <w:start w:val="1"/>
      <w:numFmt w:val="bullet"/>
      <w:lvlText w:val="o"/>
      <w:lvlJc w:val="left"/>
      <w:pPr>
        <w:tabs>
          <w:tab w:val="num" w:pos="369"/>
        </w:tabs>
        <w:ind w:left="369" w:hanging="360"/>
      </w:pPr>
      <w:rPr>
        <w:rFonts w:ascii="Courier New" w:hAnsi="Courier New" w:hint="default"/>
      </w:rPr>
    </w:lvl>
    <w:lvl w:ilvl="2" w:tplc="04090005" w:tentative="1">
      <w:start w:val="1"/>
      <w:numFmt w:val="bullet"/>
      <w:lvlText w:val=""/>
      <w:lvlJc w:val="left"/>
      <w:pPr>
        <w:tabs>
          <w:tab w:val="num" w:pos="1089"/>
        </w:tabs>
        <w:ind w:left="1089" w:hanging="360"/>
      </w:pPr>
      <w:rPr>
        <w:rFonts w:ascii="Wingdings" w:hAnsi="Wingdings" w:hint="default"/>
      </w:rPr>
    </w:lvl>
    <w:lvl w:ilvl="3" w:tplc="04090001" w:tentative="1">
      <w:start w:val="1"/>
      <w:numFmt w:val="bullet"/>
      <w:lvlText w:val=""/>
      <w:lvlJc w:val="left"/>
      <w:pPr>
        <w:tabs>
          <w:tab w:val="num" w:pos="1809"/>
        </w:tabs>
        <w:ind w:left="1809" w:hanging="360"/>
      </w:pPr>
      <w:rPr>
        <w:rFonts w:ascii="Symbol" w:hAnsi="Symbol" w:hint="default"/>
      </w:rPr>
    </w:lvl>
    <w:lvl w:ilvl="4" w:tplc="04090003" w:tentative="1">
      <w:start w:val="1"/>
      <w:numFmt w:val="bullet"/>
      <w:lvlText w:val="o"/>
      <w:lvlJc w:val="left"/>
      <w:pPr>
        <w:tabs>
          <w:tab w:val="num" w:pos="2529"/>
        </w:tabs>
        <w:ind w:left="2529" w:hanging="360"/>
      </w:pPr>
      <w:rPr>
        <w:rFonts w:ascii="Courier New" w:hAnsi="Courier New" w:hint="default"/>
      </w:rPr>
    </w:lvl>
    <w:lvl w:ilvl="5" w:tplc="04090005" w:tentative="1">
      <w:start w:val="1"/>
      <w:numFmt w:val="bullet"/>
      <w:lvlText w:val=""/>
      <w:lvlJc w:val="left"/>
      <w:pPr>
        <w:tabs>
          <w:tab w:val="num" w:pos="3249"/>
        </w:tabs>
        <w:ind w:left="3249" w:hanging="360"/>
      </w:pPr>
      <w:rPr>
        <w:rFonts w:ascii="Wingdings" w:hAnsi="Wingdings" w:hint="default"/>
      </w:rPr>
    </w:lvl>
    <w:lvl w:ilvl="6" w:tplc="04090001" w:tentative="1">
      <w:start w:val="1"/>
      <w:numFmt w:val="bullet"/>
      <w:lvlText w:val=""/>
      <w:lvlJc w:val="left"/>
      <w:pPr>
        <w:tabs>
          <w:tab w:val="num" w:pos="3969"/>
        </w:tabs>
        <w:ind w:left="3969" w:hanging="360"/>
      </w:pPr>
      <w:rPr>
        <w:rFonts w:ascii="Symbol" w:hAnsi="Symbol" w:hint="default"/>
      </w:rPr>
    </w:lvl>
    <w:lvl w:ilvl="7" w:tplc="04090003" w:tentative="1">
      <w:start w:val="1"/>
      <w:numFmt w:val="bullet"/>
      <w:lvlText w:val="o"/>
      <w:lvlJc w:val="left"/>
      <w:pPr>
        <w:tabs>
          <w:tab w:val="num" w:pos="4689"/>
        </w:tabs>
        <w:ind w:left="4689" w:hanging="360"/>
      </w:pPr>
      <w:rPr>
        <w:rFonts w:ascii="Courier New" w:hAnsi="Courier New" w:hint="default"/>
      </w:rPr>
    </w:lvl>
    <w:lvl w:ilvl="8" w:tplc="04090005" w:tentative="1">
      <w:start w:val="1"/>
      <w:numFmt w:val="bullet"/>
      <w:lvlText w:val=""/>
      <w:lvlJc w:val="left"/>
      <w:pPr>
        <w:tabs>
          <w:tab w:val="num" w:pos="5409"/>
        </w:tabs>
        <w:ind w:left="5409" w:hanging="360"/>
      </w:pPr>
      <w:rPr>
        <w:rFonts w:ascii="Wingdings" w:hAnsi="Wingdings" w:hint="default"/>
      </w:rPr>
    </w:lvl>
  </w:abstractNum>
  <w:abstractNum w:abstractNumId="15">
    <w:nsid w:val="1AB3085E"/>
    <w:multiLevelType w:val="hybridMultilevel"/>
    <w:tmpl w:val="3F202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1F44726"/>
    <w:multiLevelType w:val="hybridMultilevel"/>
    <w:tmpl w:val="9E0225E8"/>
    <w:lvl w:ilvl="0" w:tplc="5E80DAB6">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3971011"/>
    <w:multiLevelType w:val="hybridMultilevel"/>
    <w:tmpl w:val="34F26F0C"/>
    <w:lvl w:ilvl="0" w:tplc="5E80DAB6">
      <w:numFmt w:val="bullet"/>
      <w:lvlText w:val="•"/>
      <w:lvlJc w:val="left"/>
      <w:pPr>
        <w:ind w:left="720" w:hanging="360"/>
      </w:pPr>
      <w:rPr>
        <w:rFonts w:ascii="Arial" w:eastAsia="SimSu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6BB123D"/>
    <w:multiLevelType w:val="hybridMultilevel"/>
    <w:tmpl w:val="E6FE6280"/>
    <w:lvl w:ilvl="0" w:tplc="5E80DAB6">
      <w:numFmt w:val="bullet"/>
      <w:lvlText w:val="•"/>
      <w:lvlJc w:val="left"/>
      <w:pPr>
        <w:tabs>
          <w:tab w:val="num" w:pos="824"/>
        </w:tabs>
        <w:ind w:left="824" w:hanging="360"/>
      </w:pPr>
      <w:rPr>
        <w:rFonts w:ascii="Arial" w:eastAsia="SimSun" w:hAnsi="Arial" w:hint="default"/>
      </w:rPr>
    </w:lvl>
    <w:lvl w:ilvl="1" w:tplc="040C0003" w:tentative="1">
      <w:start w:val="1"/>
      <w:numFmt w:val="bullet"/>
      <w:lvlText w:val="o"/>
      <w:lvlJc w:val="left"/>
      <w:pPr>
        <w:tabs>
          <w:tab w:val="num" w:pos="1791"/>
        </w:tabs>
        <w:ind w:left="1791" w:hanging="360"/>
      </w:pPr>
      <w:rPr>
        <w:rFonts w:ascii="Courier New" w:hAnsi="Courier New" w:cs="Leelawadee" w:hint="default"/>
      </w:rPr>
    </w:lvl>
    <w:lvl w:ilvl="2" w:tplc="040C0005" w:tentative="1">
      <w:start w:val="1"/>
      <w:numFmt w:val="bullet"/>
      <w:lvlText w:val=""/>
      <w:lvlJc w:val="left"/>
      <w:pPr>
        <w:tabs>
          <w:tab w:val="num" w:pos="2511"/>
        </w:tabs>
        <w:ind w:left="2511" w:hanging="360"/>
      </w:pPr>
      <w:rPr>
        <w:rFonts w:ascii="Wingdings" w:hAnsi="Wingdings" w:hint="default"/>
      </w:rPr>
    </w:lvl>
    <w:lvl w:ilvl="3" w:tplc="040C0001" w:tentative="1">
      <w:start w:val="1"/>
      <w:numFmt w:val="bullet"/>
      <w:lvlText w:val=""/>
      <w:lvlJc w:val="left"/>
      <w:pPr>
        <w:tabs>
          <w:tab w:val="num" w:pos="3231"/>
        </w:tabs>
        <w:ind w:left="3231" w:hanging="360"/>
      </w:pPr>
      <w:rPr>
        <w:rFonts w:ascii="Symbol" w:hAnsi="Symbol" w:hint="default"/>
      </w:rPr>
    </w:lvl>
    <w:lvl w:ilvl="4" w:tplc="040C0003" w:tentative="1">
      <w:start w:val="1"/>
      <w:numFmt w:val="bullet"/>
      <w:lvlText w:val="o"/>
      <w:lvlJc w:val="left"/>
      <w:pPr>
        <w:tabs>
          <w:tab w:val="num" w:pos="3951"/>
        </w:tabs>
        <w:ind w:left="3951" w:hanging="360"/>
      </w:pPr>
      <w:rPr>
        <w:rFonts w:ascii="Courier New" w:hAnsi="Courier New" w:cs="Leelawadee" w:hint="default"/>
      </w:rPr>
    </w:lvl>
    <w:lvl w:ilvl="5" w:tplc="040C0005" w:tentative="1">
      <w:start w:val="1"/>
      <w:numFmt w:val="bullet"/>
      <w:lvlText w:val=""/>
      <w:lvlJc w:val="left"/>
      <w:pPr>
        <w:tabs>
          <w:tab w:val="num" w:pos="4671"/>
        </w:tabs>
        <w:ind w:left="4671" w:hanging="360"/>
      </w:pPr>
      <w:rPr>
        <w:rFonts w:ascii="Wingdings" w:hAnsi="Wingdings" w:hint="default"/>
      </w:rPr>
    </w:lvl>
    <w:lvl w:ilvl="6" w:tplc="040C0001" w:tentative="1">
      <w:start w:val="1"/>
      <w:numFmt w:val="bullet"/>
      <w:lvlText w:val=""/>
      <w:lvlJc w:val="left"/>
      <w:pPr>
        <w:tabs>
          <w:tab w:val="num" w:pos="5391"/>
        </w:tabs>
        <w:ind w:left="5391" w:hanging="360"/>
      </w:pPr>
      <w:rPr>
        <w:rFonts w:ascii="Symbol" w:hAnsi="Symbol" w:hint="default"/>
      </w:rPr>
    </w:lvl>
    <w:lvl w:ilvl="7" w:tplc="040C0003" w:tentative="1">
      <w:start w:val="1"/>
      <w:numFmt w:val="bullet"/>
      <w:lvlText w:val="o"/>
      <w:lvlJc w:val="left"/>
      <w:pPr>
        <w:tabs>
          <w:tab w:val="num" w:pos="6111"/>
        </w:tabs>
        <w:ind w:left="6111" w:hanging="360"/>
      </w:pPr>
      <w:rPr>
        <w:rFonts w:ascii="Courier New" w:hAnsi="Courier New" w:cs="Leelawadee" w:hint="default"/>
      </w:rPr>
    </w:lvl>
    <w:lvl w:ilvl="8" w:tplc="040C0005" w:tentative="1">
      <w:start w:val="1"/>
      <w:numFmt w:val="bullet"/>
      <w:lvlText w:val=""/>
      <w:lvlJc w:val="left"/>
      <w:pPr>
        <w:tabs>
          <w:tab w:val="num" w:pos="6831"/>
        </w:tabs>
        <w:ind w:left="6831" w:hanging="360"/>
      </w:pPr>
      <w:rPr>
        <w:rFonts w:ascii="Wingdings" w:hAnsi="Wingdings" w:hint="default"/>
      </w:rPr>
    </w:lvl>
  </w:abstractNum>
  <w:abstractNum w:abstractNumId="19">
    <w:nsid w:val="2AD67D5D"/>
    <w:multiLevelType w:val="hybridMultilevel"/>
    <w:tmpl w:val="6F78D8BA"/>
    <w:lvl w:ilvl="0" w:tplc="ADF40830">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C8A7289"/>
    <w:multiLevelType w:val="hybridMultilevel"/>
    <w:tmpl w:val="70C81FBA"/>
    <w:lvl w:ilvl="0" w:tplc="5E80DAB6">
      <w:numFmt w:val="bullet"/>
      <w:lvlText w:val="•"/>
      <w:lvlJc w:val="left"/>
      <w:pPr>
        <w:ind w:left="1068" w:hanging="360"/>
      </w:pPr>
      <w:rPr>
        <w:rFonts w:ascii="Arial" w:eastAsia="SimSun" w:hAnsi="Arial" w:hint="default"/>
      </w:rPr>
    </w:lvl>
    <w:lvl w:ilvl="1" w:tplc="08090003" w:tentative="1">
      <w:start w:val="1"/>
      <w:numFmt w:val="bullet"/>
      <w:lvlText w:val="o"/>
      <w:lvlJc w:val="left"/>
      <w:pPr>
        <w:ind w:left="1068" w:hanging="360"/>
      </w:pPr>
      <w:rPr>
        <w:rFonts w:ascii="Courier New" w:hAnsi="Courier New" w:cs="Courier New" w:hint="default"/>
      </w:rPr>
    </w:lvl>
    <w:lvl w:ilvl="2" w:tplc="08090005" w:tentative="1">
      <w:start w:val="1"/>
      <w:numFmt w:val="bullet"/>
      <w:lvlText w:val=""/>
      <w:lvlJc w:val="left"/>
      <w:pPr>
        <w:ind w:left="1788" w:hanging="360"/>
      </w:pPr>
      <w:rPr>
        <w:rFonts w:ascii="Wingdings" w:hAnsi="Wingdings" w:hint="default"/>
      </w:rPr>
    </w:lvl>
    <w:lvl w:ilvl="3" w:tplc="08090001" w:tentative="1">
      <w:start w:val="1"/>
      <w:numFmt w:val="bullet"/>
      <w:lvlText w:val=""/>
      <w:lvlJc w:val="left"/>
      <w:pPr>
        <w:ind w:left="2508" w:hanging="360"/>
      </w:pPr>
      <w:rPr>
        <w:rFonts w:ascii="Symbol" w:hAnsi="Symbol" w:hint="default"/>
      </w:rPr>
    </w:lvl>
    <w:lvl w:ilvl="4" w:tplc="08090003" w:tentative="1">
      <w:start w:val="1"/>
      <w:numFmt w:val="bullet"/>
      <w:lvlText w:val="o"/>
      <w:lvlJc w:val="left"/>
      <w:pPr>
        <w:ind w:left="3228" w:hanging="360"/>
      </w:pPr>
      <w:rPr>
        <w:rFonts w:ascii="Courier New" w:hAnsi="Courier New" w:cs="Courier New" w:hint="default"/>
      </w:rPr>
    </w:lvl>
    <w:lvl w:ilvl="5" w:tplc="08090005" w:tentative="1">
      <w:start w:val="1"/>
      <w:numFmt w:val="bullet"/>
      <w:lvlText w:val=""/>
      <w:lvlJc w:val="left"/>
      <w:pPr>
        <w:ind w:left="3948" w:hanging="360"/>
      </w:pPr>
      <w:rPr>
        <w:rFonts w:ascii="Wingdings" w:hAnsi="Wingdings" w:hint="default"/>
      </w:rPr>
    </w:lvl>
    <w:lvl w:ilvl="6" w:tplc="08090001" w:tentative="1">
      <w:start w:val="1"/>
      <w:numFmt w:val="bullet"/>
      <w:lvlText w:val=""/>
      <w:lvlJc w:val="left"/>
      <w:pPr>
        <w:ind w:left="4668" w:hanging="360"/>
      </w:pPr>
      <w:rPr>
        <w:rFonts w:ascii="Symbol" w:hAnsi="Symbol" w:hint="default"/>
      </w:rPr>
    </w:lvl>
    <w:lvl w:ilvl="7" w:tplc="08090003" w:tentative="1">
      <w:start w:val="1"/>
      <w:numFmt w:val="bullet"/>
      <w:lvlText w:val="o"/>
      <w:lvlJc w:val="left"/>
      <w:pPr>
        <w:ind w:left="5388" w:hanging="360"/>
      </w:pPr>
      <w:rPr>
        <w:rFonts w:ascii="Courier New" w:hAnsi="Courier New" w:cs="Courier New" w:hint="default"/>
      </w:rPr>
    </w:lvl>
    <w:lvl w:ilvl="8" w:tplc="08090005" w:tentative="1">
      <w:start w:val="1"/>
      <w:numFmt w:val="bullet"/>
      <w:lvlText w:val=""/>
      <w:lvlJc w:val="left"/>
      <w:pPr>
        <w:ind w:left="6108" w:hanging="360"/>
      </w:pPr>
      <w:rPr>
        <w:rFonts w:ascii="Wingdings" w:hAnsi="Wingdings" w:hint="default"/>
      </w:rPr>
    </w:lvl>
  </w:abstractNum>
  <w:abstractNum w:abstractNumId="21">
    <w:nsid w:val="2CA73061"/>
    <w:multiLevelType w:val="multilevel"/>
    <w:tmpl w:val="59521CC0"/>
    <w:lvl w:ilvl="0">
      <w:start w:val="7"/>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nsid w:val="2DD80058"/>
    <w:multiLevelType w:val="hybridMultilevel"/>
    <w:tmpl w:val="AFF8402C"/>
    <w:lvl w:ilvl="0" w:tplc="0001040C">
      <w:start w:val="1"/>
      <w:numFmt w:val="bullet"/>
      <w:lvlText w:val=""/>
      <w:lvlJc w:val="left"/>
      <w:pPr>
        <w:tabs>
          <w:tab w:val="num" w:pos="720"/>
        </w:tabs>
        <w:ind w:left="720" w:hanging="360"/>
      </w:pPr>
      <w:rPr>
        <w:rFonts w:ascii="Symbol" w:eastAsia="Times New Roman" w:hAnsi="Symbol"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Times New Roman" w:hint="default"/>
      </w:rPr>
    </w:lvl>
    <w:lvl w:ilvl="3" w:tplc="0001040C">
      <w:start w:val="1"/>
      <w:numFmt w:val="bullet"/>
      <w:lvlText w:val=""/>
      <w:lvlJc w:val="left"/>
      <w:pPr>
        <w:tabs>
          <w:tab w:val="num" w:pos="2880"/>
        </w:tabs>
        <w:ind w:left="2880" w:hanging="360"/>
      </w:pPr>
      <w:rPr>
        <w:rFonts w:ascii="Symbol" w:eastAsia="Times New Roman" w:hAnsi="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Times New Roman" w:hint="default"/>
      </w:rPr>
    </w:lvl>
    <w:lvl w:ilvl="6" w:tplc="0001040C">
      <w:start w:val="1"/>
      <w:numFmt w:val="bullet"/>
      <w:lvlText w:val=""/>
      <w:lvlJc w:val="left"/>
      <w:pPr>
        <w:tabs>
          <w:tab w:val="num" w:pos="5040"/>
        </w:tabs>
        <w:ind w:left="5040" w:hanging="360"/>
      </w:pPr>
      <w:rPr>
        <w:rFonts w:ascii="Symbol" w:eastAsia="Times New Roman" w:hAnsi="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Times New Roman" w:hint="default"/>
      </w:rPr>
    </w:lvl>
  </w:abstractNum>
  <w:abstractNum w:abstractNumId="23">
    <w:nsid w:val="2FF63358"/>
    <w:multiLevelType w:val="hybridMultilevel"/>
    <w:tmpl w:val="F984F8C2"/>
    <w:lvl w:ilvl="0" w:tplc="184C8684">
      <w:start w:val="1"/>
      <w:numFmt w:val="lowerLetter"/>
      <w:lvlText w:val="%1)"/>
      <w:lvlJc w:val="left"/>
      <w:pPr>
        <w:tabs>
          <w:tab w:val="num" w:pos="870"/>
        </w:tabs>
        <w:ind w:left="870" w:hanging="525"/>
      </w:pPr>
      <w:rPr>
        <w:rFonts w:hint="default"/>
      </w:rPr>
    </w:lvl>
    <w:lvl w:ilvl="1" w:tplc="040C0019" w:tentative="1">
      <w:start w:val="1"/>
      <w:numFmt w:val="lowerLetter"/>
      <w:lvlText w:val="%2."/>
      <w:lvlJc w:val="left"/>
      <w:pPr>
        <w:tabs>
          <w:tab w:val="num" w:pos="1425"/>
        </w:tabs>
        <w:ind w:left="1425" w:hanging="360"/>
      </w:pPr>
    </w:lvl>
    <w:lvl w:ilvl="2" w:tplc="040C001B" w:tentative="1">
      <w:start w:val="1"/>
      <w:numFmt w:val="lowerRoman"/>
      <w:lvlText w:val="%3."/>
      <w:lvlJc w:val="right"/>
      <w:pPr>
        <w:tabs>
          <w:tab w:val="num" w:pos="2145"/>
        </w:tabs>
        <w:ind w:left="2145" w:hanging="180"/>
      </w:pPr>
    </w:lvl>
    <w:lvl w:ilvl="3" w:tplc="040C000F" w:tentative="1">
      <w:start w:val="1"/>
      <w:numFmt w:val="decimal"/>
      <w:lvlText w:val="%4."/>
      <w:lvlJc w:val="left"/>
      <w:pPr>
        <w:tabs>
          <w:tab w:val="num" w:pos="2865"/>
        </w:tabs>
        <w:ind w:left="2865" w:hanging="360"/>
      </w:pPr>
    </w:lvl>
    <w:lvl w:ilvl="4" w:tplc="040C0019" w:tentative="1">
      <w:start w:val="1"/>
      <w:numFmt w:val="lowerLetter"/>
      <w:lvlText w:val="%5."/>
      <w:lvlJc w:val="left"/>
      <w:pPr>
        <w:tabs>
          <w:tab w:val="num" w:pos="3585"/>
        </w:tabs>
        <w:ind w:left="3585" w:hanging="360"/>
      </w:pPr>
    </w:lvl>
    <w:lvl w:ilvl="5" w:tplc="040C001B" w:tentative="1">
      <w:start w:val="1"/>
      <w:numFmt w:val="lowerRoman"/>
      <w:lvlText w:val="%6."/>
      <w:lvlJc w:val="right"/>
      <w:pPr>
        <w:tabs>
          <w:tab w:val="num" w:pos="4305"/>
        </w:tabs>
        <w:ind w:left="4305" w:hanging="180"/>
      </w:pPr>
    </w:lvl>
    <w:lvl w:ilvl="6" w:tplc="040C000F" w:tentative="1">
      <w:start w:val="1"/>
      <w:numFmt w:val="decimal"/>
      <w:lvlText w:val="%7."/>
      <w:lvlJc w:val="left"/>
      <w:pPr>
        <w:tabs>
          <w:tab w:val="num" w:pos="5025"/>
        </w:tabs>
        <w:ind w:left="5025" w:hanging="360"/>
      </w:pPr>
    </w:lvl>
    <w:lvl w:ilvl="7" w:tplc="040C0019" w:tentative="1">
      <w:start w:val="1"/>
      <w:numFmt w:val="lowerLetter"/>
      <w:lvlText w:val="%8."/>
      <w:lvlJc w:val="left"/>
      <w:pPr>
        <w:tabs>
          <w:tab w:val="num" w:pos="5745"/>
        </w:tabs>
        <w:ind w:left="5745" w:hanging="360"/>
      </w:pPr>
    </w:lvl>
    <w:lvl w:ilvl="8" w:tplc="040C001B" w:tentative="1">
      <w:start w:val="1"/>
      <w:numFmt w:val="lowerRoman"/>
      <w:lvlText w:val="%9."/>
      <w:lvlJc w:val="right"/>
      <w:pPr>
        <w:tabs>
          <w:tab w:val="num" w:pos="6465"/>
        </w:tabs>
        <w:ind w:left="6465" w:hanging="180"/>
      </w:pPr>
    </w:lvl>
  </w:abstractNum>
  <w:abstractNum w:abstractNumId="24">
    <w:nsid w:val="349574CF"/>
    <w:multiLevelType w:val="hybridMultilevel"/>
    <w:tmpl w:val="155A81DE"/>
    <w:lvl w:ilvl="0" w:tplc="5E80DAB6">
      <w:numFmt w:val="bullet"/>
      <w:lvlText w:val="•"/>
      <w:lvlJc w:val="left"/>
      <w:pPr>
        <w:tabs>
          <w:tab w:val="num" w:pos="824"/>
        </w:tabs>
        <w:ind w:left="824" w:hanging="360"/>
      </w:pPr>
      <w:rPr>
        <w:rFonts w:ascii="Arial" w:eastAsia="SimSun" w:hAnsi="Arial" w:hint="default"/>
      </w:rPr>
    </w:lvl>
    <w:lvl w:ilvl="1" w:tplc="040C0003" w:tentative="1">
      <w:start w:val="1"/>
      <w:numFmt w:val="bullet"/>
      <w:lvlText w:val="o"/>
      <w:lvlJc w:val="left"/>
      <w:pPr>
        <w:tabs>
          <w:tab w:val="num" w:pos="1791"/>
        </w:tabs>
        <w:ind w:left="1791" w:hanging="360"/>
      </w:pPr>
      <w:rPr>
        <w:rFonts w:ascii="Courier New" w:hAnsi="Courier New" w:cs="Leelawadee" w:hint="default"/>
      </w:rPr>
    </w:lvl>
    <w:lvl w:ilvl="2" w:tplc="040C0005" w:tentative="1">
      <w:start w:val="1"/>
      <w:numFmt w:val="bullet"/>
      <w:lvlText w:val=""/>
      <w:lvlJc w:val="left"/>
      <w:pPr>
        <w:tabs>
          <w:tab w:val="num" w:pos="2511"/>
        </w:tabs>
        <w:ind w:left="2511" w:hanging="360"/>
      </w:pPr>
      <w:rPr>
        <w:rFonts w:ascii="Wingdings" w:hAnsi="Wingdings" w:hint="default"/>
      </w:rPr>
    </w:lvl>
    <w:lvl w:ilvl="3" w:tplc="040C0001" w:tentative="1">
      <w:start w:val="1"/>
      <w:numFmt w:val="bullet"/>
      <w:lvlText w:val=""/>
      <w:lvlJc w:val="left"/>
      <w:pPr>
        <w:tabs>
          <w:tab w:val="num" w:pos="3231"/>
        </w:tabs>
        <w:ind w:left="3231" w:hanging="360"/>
      </w:pPr>
      <w:rPr>
        <w:rFonts w:ascii="Symbol" w:hAnsi="Symbol" w:hint="default"/>
      </w:rPr>
    </w:lvl>
    <w:lvl w:ilvl="4" w:tplc="040C0003" w:tentative="1">
      <w:start w:val="1"/>
      <w:numFmt w:val="bullet"/>
      <w:lvlText w:val="o"/>
      <w:lvlJc w:val="left"/>
      <w:pPr>
        <w:tabs>
          <w:tab w:val="num" w:pos="3951"/>
        </w:tabs>
        <w:ind w:left="3951" w:hanging="360"/>
      </w:pPr>
      <w:rPr>
        <w:rFonts w:ascii="Courier New" w:hAnsi="Courier New" w:cs="Leelawadee" w:hint="default"/>
      </w:rPr>
    </w:lvl>
    <w:lvl w:ilvl="5" w:tplc="040C0005" w:tentative="1">
      <w:start w:val="1"/>
      <w:numFmt w:val="bullet"/>
      <w:lvlText w:val=""/>
      <w:lvlJc w:val="left"/>
      <w:pPr>
        <w:tabs>
          <w:tab w:val="num" w:pos="4671"/>
        </w:tabs>
        <w:ind w:left="4671" w:hanging="360"/>
      </w:pPr>
      <w:rPr>
        <w:rFonts w:ascii="Wingdings" w:hAnsi="Wingdings" w:hint="default"/>
      </w:rPr>
    </w:lvl>
    <w:lvl w:ilvl="6" w:tplc="040C0001" w:tentative="1">
      <w:start w:val="1"/>
      <w:numFmt w:val="bullet"/>
      <w:lvlText w:val=""/>
      <w:lvlJc w:val="left"/>
      <w:pPr>
        <w:tabs>
          <w:tab w:val="num" w:pos="5391"/>
        </w:tabs>
        <w:ind w:left="5391" w:hanging="360"/>
      </w:pPr>
      <w:rPr>
        <w:rFonts w:ascii="Symbol" w:hAnsi="Symbol" w:hint="default"/>
      </w:rPr>
    </w:lvl>
    <w:lvl w:ilvl="7" w:tplc="040C0003" w:tentative="1">
      <w:start w:val="1"/>
      <w:numFmt w:val="bullet"/>
      <w:lvlText w:val="o"/>
      <w:lvlJc w:val="left"/>
      <w:pPr>
        <w:tabs>
          <w:tab w:val="num" w:pos="6111"/>
        </w:tabs>
        <w:ind w:left="6111" w:hanging="360"/>
      </w:pPr>
      <w:rPr>
        <w:rFonts w:ascii="Courier New" w:hAnsi="Courier New" w:cs="Leelawadee" w:hint="default"/>
      </w:rPr>
    </w:lvl>
    <w:lvl w:ilvl="8" w:tplc="040C0005" w:tentative="1">
      <w:start w:val="1"/>
      <w:numFmt w:val="bullet"/>
      <w:lvlText w:val=""/>
      <w:lvlJc w:val="left"/>
      <w:pPr>
        <w:tabs>
          <w:tab w:val="num" w:pos="6831"/>
        </w:tabs>
        <w:ind w:left="6831" w:hanging="360"/>
      </w:pPr>
      <w:rPr>
        <w:rFonts w:ascii="Wingdings" w:hAnsi="Wingdings" w:hint="default"/>
      </w:rPr>
    </w:lvl>
  </w:abstractNum>
  <w:abstractNum w:abstractNumId="25">
    <w:nsid w:val="356D45D2"/>
    <w:multiLevelType w:val="hybridMultilevel"/>
    <w:tmpl w:val="A70619CE"/>
    <w:lvl w:ilvl="0" w:tplc="5E80DAB6">
      <w:numFmt w:val="bullet"/>
      <w:lvlText w:val="•"/>
      <w:lvlJc w:val="left"/>
      <w:pPr>
        <w:tabs>
          <w:tab w:val="num" w:pos="824"/>
        </w:tabs>
        <w:ind w:left="824" w:hanging="360"/>
      </w:pPr>
      <w:rPr>
        <w:rFonts w:ascii="Arial" w:eastAsia="SimSun" w:hAnsi="Arial" w:hint="default"/>
      </w:rPr>
    </w:lvl>
    <w:lvl w:ilvl="1" w:tplc="040C0003" w:tentative="1">
      <w:start w:val="1"/>
      <w:numFmt w:val="bullet"/>
      <w:lvlText w:val="o"/>
      <w:lvlJc w:val="left"/>
      <w:pPr>
        <w:tabs>
          <w:tab w:val="num" w:pos="1791"/>
        </w:tabs>
        <w:ind w:left="1791" w:hanging="360"/>
      </w:pPr>
      <w:rPr>
        <w:rFonts w:ascii="Courier New" w:hAnsi="Courier New" w:cs="Leelawadee" w:hint="default"/>
      </w:rPr>
    </w:lvl>
    <w:lvl w:ilvl="2" w:tplc="040C0005" w:tentative="1">
      <w:start w:val="1"/>
      <w:numFmt w:val="bullet"/>
      <w:lvlText w:val=""/>
      <w:lvlJc w:val="left"/>
      <w:pPr>
        <w:tabs>
          <w:tab w:val="num" w:pos="2511"/>
        </w:tabs>
        <w:ind w:left="2511" w:hanging="360"/>
      </w:pPr>
      <w:rPr>
        <w:rFonts w:ascii="Wingdings" w:hAnsi="Wingdings" w:hint="default"/>
      </w:rPr>
    </w:lvl>
    <w:lvl w:ilvl="3" w:tplc="040C0001" w:tentative="1">
      <w:start w:val="1"/>
      <w:numFmt w:val="bullet"/>
      <w:lvlText w:val=""/>
      <w:lvlJc w:val="left"/>
      <w:pPr>
        <w:tabs>
          <w:tab w:val="num" w:pos="3231"/>
        </w:tabs>
        <w:ind w:left="3231" w:hanging="360"/>
      </w:pPr>
      <w:rPr>
        <w:rFonts w:ascii="Symbol" w:hAnsi="Symbol" w:hint="default"/>
      </w:rPr>
    </w:lvl>
    <w:lvl w:ilvl="4" w:tplc="040C0003" w:tentative="1">
      <w:start w:val="1"/>
      <w:numFmt w:val="bullet"/>
      <w:lvlText w:val="o"/>
      <w:lvlJc w:val="left"/>
      <w:pPr>
        <w:tabs>
          <w:tab w:val="num" w:pos="3951"/>
        </w:tabs>
        <w:ind w:left="3951" w:hanging="360"/>
      </w:pPr>
      <w:rPr>
        <w:rFonts w:ascii="Courier New" w:hAnsi="Courier New" w:cs="Leelawadee" w:hint="default"/>
      </w:rPr>
    </w:lvl>
    <w:lvl w:ilvl="5" w:tplc="040C0005" w:tentative="1">
      <w:start w:val="1"/>
      <w:numFmt w:val="bullet"/>
      <w:lvlText w:val=""/>
      <w:lvlJc w:val="left"/>
      <w:pPr>
        <w:tabs>
          <w:tab w:val="num" w:pos="4671"/>
        </w:tabs>
        <w:ind w:left="4671" w:hanging="360"/>
      </w:pPr>
      <w:rPr>
        <w:rFonts w:ascii="Wingdings" w:hAnsi="Wingdings" w:hint="default"/>
      </w:rPr>
    </w:lvl>
    <w:lvl w:ilvl="6" w:tplc="040C0001" w:tentative="1">
      <w:start w:val="1"/>
      <w:numFmt w:val="bullet"/>
      <w:lvlText w:val=""/>
      <w:lvlJc w:val="left"/>
      <w:pPr>
        <w:tabs>
          <w:tab w:val="num" w:pos="5391"/>
        </w:tabs>
        <w:ind w:left="5391" w:hanging="360"/>
      </w:pPr>
      <w:rPr>
        <w:rFonts w:ascii="Symbol" w:hAnsi="Symbol" w:hint="default"/>
      </w:rPr>
    </w:lvl>
    <w:lvl w:ilvl="7" w:tplc="040C0003" w:tentative="1">
      <w:start w:val="1"/>
      <w:numFmt w:val="bullet"/>
      <w:lvlText w:val="o"/>
      <w:lvlJc w:val="left"/>
      <w:pPr>
        <w:tabs>
          <w:tab w:val="num" w:pos="6111"/>
        </w:tabs>
        <w:ind w:left="6111" w:hanging="360"/>
      </w:pPr>
      <w:rPr>
        <w:rFonts w:ascii="Courier New" w:hAnsi="Courier New" w:cs="Leelawadee" w:hint="default"/>
      </w:rPr>
    </w:lvl>
    <w:lvl w:ilvl="8" w:tplc="040C0005" w:tentative="1">
      <w:start w:val="1"/>
      <w:numFmt w:val="bullet"/>
      <w:lvlText w:val=""/>
      <w:lvlJc w:val="left"/>
      <w:pPr>
        <w:tabs>
          <w:tab w:val="num" w:pos="6831"/>
        </w:tabs>
        <w:ind w:left="6831" w:hanging="360"/>
      </w:pPr>
      <w:rPr>
        <w:rFonts w:ascii="Wingdings" w:hAnsi="Wingdings" w:hint="default"/>
      </w:rPr>
    </w:lvl>
  </w:abstractNum>
  <w:abstractNum w:abstractNumId="26">
    <w:nsid w:val="37254FA1"/>
    <w:multiLevelType w:val="hybridMultilevel"/>
    <w:tmpl w:val="0D5ABC0E"/>
    <w:lvl w:ilvl="0" w:tplc="5E80DAB6">
      <w:numFmt w:val="bullet"/>
      <w:lvlText w:val="•"/>
      <w:lvlJc w:val="left"/>
      <w:pPr>
        <w:ind w:left="1080" w:hanging="360"/>
      </w:pPr>
      <w:rPr>
        <w:rFonts w:ascii="Arial" w:eastAsia="SimSun"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37BA2131"/>
    <w:multiLevelType w:val="hybridMultilevel"/>
    <w:tmpl w:val="F828BACA"/>
    <w:lvl w:ilvl="0" w:tplc="0001040C">
      <w:start w:val="1"/>
      <w:numFmt w:val="bullet"/>
      <w:lvlText w:val=""/>
      <w:lvlJc w:val="left"/>
      <w:pPr>
        <w:tabs>
          <w:tab w:val="num" w:pos="720"/>
        </w:tabs>
        <w:ind w:left="720" w:hanging="360"/>
      </w:pPr>
      <w:rPr>
        <w:rFonts w:ascii="Symbol" w:eastAsia="Times New Roman" w:hAnsi="Symbol"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Times New Roman" w:hint="default"/>
      </w:rPr>
    </w:lvl>
    <w:lvl w:ilvl="3" w:tplc="0001040C">
      <w:start w:val="1"/>
      <w:numFmt w:val="bullet"/>
      <w:lvlText w:val=""/>
      <w:lvlJc w:val="left"/>
      <w:pPr>
        <w:tabs>
          <w:tab w:val="num" w:pos="2880"/>
        </w:tabs>
        <w:ind w:left="2880" w:hanging="360"/>
      </w:pPr>
      <w:rPr>
        <w:rFonts w:ascii="Symbol" w:eastAsia="Times New Roman" w:hAnsi="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Times New Roman" w:hint="default"/>
      </w:rPr>
    </w:lvl>
    <w:lvl w:ilvl="6" w:tplc="0001040C">
      <w:start w:val="1"/>
      <w:numFmt w:val="bullet"/>
      <w:lvlText w:val=""/>
      <w:lvlJc w:val="left"/>
      <w:pPr>
        <w:tabs>
          <w:tab w:val="num" w:pos="5040"/>
        </w:tabs>
        <w:ind w:left="5040" w:hanging="360"/>
      </w:pPr>
      <w:rPr>
        <w:rFonts w:ascii="Symbol" w:eastAsia="Times New Roman" w:hAnsi="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Times New Roman" w:hint="default"/>
      </w:rPr>
    </w:lvl>
  </w:abstractNum>
  <w:abstractNum w:abstractNumId="28">
    <w:nsid w:val="3894456A"/>
    <w:multiLevelType w:val="hybridMultilevel"/>
    <w:tmpl w:val="8B76C632"/>
    <w:lvl w:ilvl="0" w:tplc="5E80DAB6">
      <w:numFmt w:val="bullet"/>
      <w:lvlText w:val="•"/>
      <w:lvlJc w:val="left"/>
      <w:pPr>
        <w:tabs>
          <w:tab w:val="num" w:pos="1080"/>
        </w:tabs>
        <w:ind w:left="1080" w:hanging="360"/>
      </w:pPr>
      <w:rPr>
        <w:rFonts w:ascii="Arial" w:eastAsia="SimSun" w:hAnsi="Arial" w:hint="default"/>
      </w:rPr>
    </w:lvl>
    <w:lvl w:ilvl="1" w:tplc="0003040C">
      <w:start w:val="1"/>
      <w:numFmt w:val="bullet"/>
      <w:lvlText w:val="o"/>
      <w:lvlJc w:val="left"/>
      <w:pPr>
        <w:tabs>
          <w:tab w:val="num" w:pos="1800"/>
        </w:tabs>
        <w:ind w:left="1800" w:hanging="360"/>
      </w:pPr>
      <w:rPr>
        <w:rFonts w:ascii="Courier New" w:hAnsi="Courier New" w:cs="Courier New" w:hint="default"/>
      </w:rPr>
    </w:lvl>
    <w:lvl w:ilvl="2" w:tplc="0005040C">
      <w:start w:val="1"/>
      <w:numFmt w:val="bullet"/>
      <w:lvlText w:val=""/>
      <w:lvlJc w:val="left"/>
      <w:pPr>
        <w:tabs>
          <w:tab w:val="num" w:pos="2520"/>
        </w:tabs>
        <w:ind w:left="2520" w:hanging="360"/>
      </w:pPr>
      <w:rPr>
        <w:rFonts w:ascii="Wingdings" w:hAnsi="Wingdings" w:cs="Times New Roman" w:hint="default"/>
      </w:rPr>
    </w:lvl>
    <w:lvl w:ilvl="3" w:tplc="0001040C">
      <w:start w:val="1"/>
      <w:numFmt w:val="bullet"/>
      <w:lvlText w:val=""/>
      <w:lvlJc w:val="left"/>
      <w:pPr>
        <w:tabs>
          <w:tab w:val="num" w:pos="3240"/>
        </w:tabs>
        <w:ind w:left="3240" w:hanging="360"/>
      </w:pPr>
      <w:rPr>
        <w:rFonts w:ascii="Symbol" w:eastAsia="Times New Roman" w:hAnsi="Symbol" w:hint="default"/>
      </w:rPr>
    </w:lvl>
    <w:lvl w:ilvl="4" w:tplc="0003040C">
      <w:start w:val="1"/>
      <w:numFmt w:val="bullet"/>
      <w:lvlText w:val="o"/>
      <w:lvlJc w:val="left"/>
      <w:pPr>
        <w:tabs>
          <w:tab w:val="num" w:pos="3960"/>
        </w:tabs>
        <w:ind w:left="3960" w:hanging="360"/>
      </w:pPr>
      <w:rPr>
        <w:rFonts w:ascii="Courier New" w:hAnsi="Courier New" w:cs="Courier New" w:hint="default"/>
      </w:rPr>
    </w:lvl>
    <w:lvl w:ilvl="5" w:tplc="0005040C">
      <w:start w:val="1"/>
      <w:numFmt w:val="bullet"/>
      <w:lvlText w:val=""/>
      <w:lvlJc w:val="left"/>
      <w:pPr>
        <w:tabs>
          <w:tab w:val="num" w:pos="4680"/>
        </w:tabs>
        <w:ind w:left="4680" w:hanging="360"/>
      </w:pPr>
      <w:rPr>
        <w:rFonts w:ascii="Wingdings" w:hAnsi="Wingdings" w:cs="Times New Roman" w:hint="default"/>
      </w:rPr>
    </w:lvl>
    <w:lvl w:ilvl="6" w:tplc="0001040C">
      <w:start w:val="1"/>
      <w:numFmt w:val="bullet"/>
      <w:lvlText w:val=""/>
      <w:lvlJc w:val="left"/>
      <w:pPr>
        <w:tabs>
          <w:tab w:val="num" w:pos="5400"/>
        </w:tabs>
        <w:ind w:left="5400" w:hanging="360"/>
      </w:pPr>
      <w:rPr>
        <w:rFonts w:ascii="Symbol" w:eastAsia="Times New Roman" w:hAnsi="Symbol" w:hint="default"/>
      </w:rPr>
    </w:lvl>
    <w:lvl w:ilvl="7" w:tplc="0003040C">
      <w:start w:val="1"/>
      <w:numFmt w:val="bullet"/>
      <w:lvlText w:val="o"/>
      <w:lvlJc w:val="left"/>
      <w:pPr>
        <w:tabs>
          <w:tab w:val="num" w:pos="6120"/>
        </w:tabs>
        <w:ind w:left="6120" w:hanging="360"/>
      </w:pPr>
      <w:rPr>
        <w:rFonts w:ascii="Courier New" w:hAnsi="Courier New" w:cs="Courier New" w:hint="default"/>
      </w:rPr>
    </w:lvl>
    <w:lvl w:ilvl="8" w:tplc="0005040C">
      <w:start w:val="1"/>
      <w:numFmt w:val="bullet"/>
      <w:lvlText w:val=""/>
      <w:lvlJc w:val="left"/>
      <w:pPr>
        <w:tabs>
          <w:tab w:val="num" w:pos="6840"/>
        </w:tabs>
        <w:ind w:left="6840" w:hanging="360"/>
      </w:pPr>
      <w:rPr>
        <w:rFonts w:ascii="Wingdings" w:hAnsi="Wingdings" w:cs="Times New Roman" w:hint="default"/>
      </w:rPr>
    </w:lvl>
  </w:abstractNum>
  <w:abstractNum w:abstractNumId="29">
    <w:nsid w:val="3A2E2C50"/>
    <w:multiLevelType w:val="hybridMultilevel"/>
    <w:tmpl w:val="5C9896F0"/>
    <w:lvl w:ilvl="0" w:tplc="5E80DAB6">
      <w:numFmt w:val="bullet"/>
      <w:lvlText w:val="•"/>
      <w:lvlJc w:val="left"/>
      <w:pPr>
        <w:tabs>
          <w:tab w:val="num" w:pos="720"/>
        </w:tabs>
        <w:ind w:left="720" w:hanging="360"/>
      </w:pPr>
      <w:rPr>
        <w:rFonts w:ascii="Arial" w:eastAsia="SimSun" w:hAnsi="Arial"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Times New Roman" w:hint="default"/>
      </w:rPr>
    </w:lvl>
    <w:lvl w:ilvl="3" w:tplc="0001040C">
      <w:start w:val="1"/>
      <w:numFmt w:val="bullet"/>
      <w:lvlText w:val=""/>
      <w:lvlJc w:val="left"/>
      <w:pPr>
        <w:tabs>
          <w:tab w:val="num" w:pos="2880"/>
        </w:tabs>
        <w:ind w:left="2880" w:hanging="360"/>
      </w:pPr>
      <w:rPr>
        <w:rFonts w:ascii="Symbol" w:eastAsia="Times New Roman" w:hAnsi="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Times New Roman" w:hint="default"/>
      </w:rPr>
    </w:lvl>
    <w:lvl w:ilvl="6" w:tplc="0001040C">
      <w:start w:val="1"/>
      <w:numFmt w:val="bullet"/>
      <w:lvlText w:val=""/>
      <w:lvlJc w:val="left"/>
      <w:pPr>
        <w:tabs>
          <w:tab w:val="num" w:pos="5040"/>
        </w:tabs>
        <w:ind w:left="5040" w:hanging="360"/>
      </w:pPr>
      <w:rPr>
        <w:rFonts w:ascii="Symbol" w:eastAsia="Times New Roman" w:hAnsi="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Times New Roman" w:hint="default"/>
      </w:rPr>
    </w:lvl>
  </w:abstractNum>
  <w:abstractNum w:abstractNumId="30">
    <w:nsid w:val="3E1D14C6"/>
    <w:multiLevelType w:val="multilevel"/>
    <w:tmpl w:val="56BA8B8E"/>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nsid w:val="44263176"/>
    <w:multiLevelType w:val="hybridMultilevel"/>
    <w:tmpl w:val="77AEC8BC"/>
    <w:lvl w:ilvl="0" w:tplc="5E80DAB6">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56208F8"/>
    <w:multiLevelType w:val="hybridMultilevel"/>
    <w:tmpl w:val="9F2E2DB4"/>
    <w:lvl w:ilvl="0" w:tplc="5E80DAB6">
      <w:numFmt w:val="bullet"/>
      <w:lvlText w:val="•"/>
      <w:lvlJc w:val="left"/>
      <w:pPr>
        <w:ind w:left="720" w:hanging="360"/>
      </w:pPr>
      <w:rPr>
        <w:rFonts w:ascii="Arial" w:eastAsia="SimSu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5CF6724"/>
    <w:multiLevelType w:val="multilevel"/>
    <w:tmpl w:val="274874CE"/>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nsid w:val="45F21638"/>
    <w:multiLevelType w:val="hybridMultilevel"/>
    <w:tmpl w:val="0EB8E540"/>
    <w:lvl w:ilvl="0" w:tplc="5E80DAB6">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6D9390C"/>
    <w:multiLevelType w:val="hybridMultilevel"/>
    <w:tmpl w:val="8F10FC30"/>
    <w:lvl w:ilvl="0" w:tplc="5E80DAB6">
      <w:numFmt w:val="bullet"/>
      <w:lvlText w:val="•"/>
      <w:lvlJc w:val="left"/>
      <w:pPr>
        <w:ind w:left="1428" w:hanging="360"/>
      </w:pPr>
      <w:rPr>
        <w:rFonts w:ascii="Arial" w:eastAsia="SimSun"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6">
    <w:nsid w:val="475E350E"/>
    <w:multiLevelType w:val="multilevel"/>
    <w:tmpl w:val="1CE03F3E"/>
    <w:lvl w:ilvl="0">
      <w:numFmt w:val="bullet"/>
      <w:lvlText w:val="•"/>
      <w:lvlJc w:val="left"/>
      <w:pPr>
        <w:tabs>
          <w:tab w:val="num" w:pos="720"/>
        </w:tabs>
        <w:ind w:left="720" w:hanging="360"/>
      </w:pPr>
      <w:rPr>
        <w:rFonts w:ascii="Arial" w:eastAsia="SimSun" w:hAnsi="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49046244"/>
    <w:multiLevelType w:val="multilevel"/>
    <w:tmpl w:val="4BD813FE"/>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8">
    <w:nsid w:val="4C33165E"/>
    <w:multiLevelType w:val="multilevel"/>
    <w:tmpl w:val="A4721D78"/>
    <w:lvl w:ilvl="0">
      <w:numFmt w:val="bullet"/>
      <w:lvlText w:val="•"/>
      <w:lvlJc w:val="left"/>
      <w:pPr>
        <w:tabs>
          <w:tab w:val="num" w:pos="720"/>
        </w:tabs>
        <w:ind w:left="720" w:hanging="360"/>
      </w:pPr>
      <w:rPr>
        <w:rFonts w:ascii="Arial" w:eastAsia="SimSun" w:hAnsi="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4FBE03A7"/>
    <w:multiLevelType w:val="hybridMultilevel"/>
    <w:tmpl w:val="A522AFCC"/>
    <w:lvl w:ilvl="0" w:tplc="5E80DAB6">
      <w:numFmt w:val="bullet"/>
      <w:lvlText w:val="•"/>
      <w:lvlJc w:val="left"/>
      <w:pPr>
        <w:ind w:left="720" w:hanging="360"/>
      </w:pPr>
      <w:rPr>
        <w:rFonts w:ascii="Arial" w:eastAsia="SimSu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11960E1"/>
    <w:multiLevelType w:val="hybridMultilevel"/>
    <w:tmpl w:val="C2E082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Leelawadee"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Leelawadee"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Leelawadee" w:hint="default"/>
      </w:rPr>
    </w:lvl>
    <w:lvl w:ilvl="8" w:tplc="040C0005">
      <w:start w:val="1"/>
      <w:numFmt w:val="bullet"/>
      <w:lvlText w:val=""/>
      <w:lvlJc w:val="left"/>
      <w:pPr>
        <w:ind w:left="6480" w:hanging="360"/>
      </w:pPr>
      <w:rPr>
        <w:rFonts w:ascii="Wingdings" w:hAnsi="Wingdings" w:hint="default"/>
      </w:rPr>
    </w:lvl>
  </w:abstractNum>
  <w:abstractNum w:abstractNumId="41">
    <w:nsid w:val="5290267A"/>
    <w:multiLevelType w:val="hybridMultilevel"/>
    <w:tmpl w:val="C4962904"/>
    <w:lvl w:ilvl="0" w:tplc="5E80DAB6">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35A5942"/>
    <w:multiLevelType w:val="hybridMultilevel"/>
    <w:tmpl w:val="EE56FEB2"/>
    <w:lvl w:ilvl="0" w:tplc="5E80DAB6">
      <w:numFmt w:val="bullet"/>
      <w:lvlText w:val="•"/>
      <w:lvlJc w:val="left"/>
      <w:pPr>
        <w:ind w:left="1080" w:hanging="360"/>
      </w:pPr>
      <w:rPr>
        <w:rFonts w:ascii="Arial" w:eastAsia="SimSun"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nsid w:val="53955485"/>
    <w:multiLevelType w:val="multilevel"/>
    <w:tmpl w:val="1166D08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44">
    <w:nsid w:val="542C6187"/>
    <w:multiLevelType w:val="hybridMultilevel"/>
    <w:tmpl w:val="8D2C3A6A"/>
    <w:lvl w:ilvl="0" w:tplc="5E80DAB6">
      <w:numFmt w:val="bullet"/>
      <w:lvlText w:val="•"/>
      <w:lvlJc w:val="left"/>
      <w:pPr>
        <w:ind w:left="1300" w:hanging="360"/>
      </w:pPr>
      <w:rPr>
        <w:rFonts w:ascii="Arial" w:eastAsia="SimSun" w:hAnsi="Arial" w:hint="default"/>
      </w:rPr>
    </w:lvl>
    <w:lvl w:ilvl="1" w:tplc="040C0003" w:tentative="1">
      <w:start w:val="1"/>
      <w:numFmt w:val="bullet"/>
      <w:lvlText w:val="o"/>
      <w:lvlJc w:val="left"/>
      <w:pPr>
        <w:ind w:left="2020" w:hanging="360"/>
      </w:pPr>
      <w:rPr>
        <w:rFonts w:ascii="Courier New" w:hAnsi="Courier New" w:hint="default"/>
      </w:rPr>
    </w:lvl>
    <w:lvl w:ilvl="2" w:tplc="040C0005" w:tentative="1">
      <w:start w:val="1"/>
      <w:numFmt w:val="bullet"/>
      <w:lvlText w:val=""/>
      <w:lvlJc w:val="left"/>
      <w:pPr>
        <w:ind w:left="2740" w:hanging="360"/>
      </w:pPr>
      <w:rPr>
        <w:rFonts w:ascii="Wingdings" w:hAnsi="Wingdings" w:hint="default"/>
      </w:rPr>
    </w:lvl>
    <w:lvl w:ilvl="3" w:tplc="040C0001">
      <w:start w:val="1"/>
      <w:numFmt w:val="bullet"/>
      <w:lvlText w:val=""/>
      <w:lvlJc w:val="left"/>
      <w:pPr>
        <w:ind w:left="3460" w:hanging="360"/>
      </w:pPr>
      <w:rPr>
        <w:rFonts w:ascii="Symbol" w:hAnsi="Symbol" w:hint="default"/>
      </w:rPr>
    </w:lvl>
    <w:lvl w:ilvl="4" w:tplc="040C0003" w:tentative="1">
      <w:start w:val="1"/>
      <w:numFmt w:val="bullet"/>
      <w:lvlText w:val="o"/>
      <w:lvlJc w:val="left"/>
      <w:pPr>
        <w:ind w:left="4180" w:hanging="360"/>
      </w:pPr>
      <w:rPr>
        <w:rFonts w:ascii="Courier New" w:hAnsi="Courier New" w:hint="default"/>
      </w:rPr>
    </w:lvl>
    <w:lvl w:ilvl="5" w:tplc="040C0005" w:tentative="1">
      <w:start w:val="1"/>
      <w:numFmt w:val="bullet"/>
      <w:lvlText w:val=""/>
      <w:lvlJc w:val="left"/>
      <w:pPr>
        <w:ind w:left="4900" w:hanging="360"/>
      </w:pPr>
      <w:rPr>
        <w:rFonts w:ascii="Wingdings" w:hAnsi="Wingdings" w:hint="default"/>
      </w:rPr>
    </w:lvl>
    <w:lvl w:ilvl="6" w:tplc="040C0001" w:tentative="1">
      <w:start w:val="1"/>
      <w:numFmt w:val="bullet"/>
      <w:lvlText w:val=""/>
      <w:lvlJc w:val="left"/>
      <w:pPr>
        <w:ind w:left="5620" w:hanging="360"/>
      </w:pPr>
      <w:rPr>
        <w:rFonts w:ascii="Symbol" w:hAnsi="Symbol" w:hint="default"/>
      </w:rPr>
    </w:lvl>
    <w:lvl w:ilvl="7" w:tplc="040C0003" w:tentative="1">
      <w:start w:val="1"/>
      <w:numFmt w:val="bullet"/>
      <w:lvlText w:val="o"/>
      <w:lvlJc w:val="left"/>
      <w:pPr>
        <w:ind w:left="6340" w:hanging="360"/>
      </w:pPr>
      <w:rPr>
        <w:rFonts w:ascii="Courier New" w:hAnsi="Courier New" w:hint="default"/>
      </w:rPr>
    </w:lvl>
    <w:lvl w:ilvl="8" w:tplc="040C0005" w:tentative="1">
      <w:start w:val="1"/>
      <w:numFmt w:val="bullet"/>
      <w:lvlText w:val=""/>
      <w:lvlJc w:val="left"/>
      <w:pPr>
        <w:ind w:left="7060" w:hanging="360"/>
      </w:pPr>
      <w:rPr>
        <w:rFonts w:ascii="Wingdings" w:hAnsi="Wingdings" w:hint="default"/>
      </w:rPr>
    </w:lvl>
  </w:abstractNum>
  <w:abstractNum w:abstractNumId="45">
    <w:nsid w:val="56AA020A"/>
    <w:multiLevelType w:val="hybridMultilevel"/>
    <w:tmpl w:val="92821B56"/>
    <w:lvl w:ilvl="0" w:tplc="040C0019">
      <w:start w:val="1"/>
      <w:numFmt w:val="lowerLetter"/>
      <w:lvlText w:val="%1."/>
      <w:lvlJc w:val="left"/>
      <w:pPr>
        <w:ind w:left="720" w:hanging="360"/>
      </w:pPr>
      <w:rPr>
        <w:rFonts w:cs="Times New Roman"/>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6">
    <w:nsid w:val="57CD1670"/>
    <w:multiLevelType w:val="multilevel"/>
    <w:tmpl w:val="0E32E41A"/>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7">
    <w:nsid w:val="596C4CDF"/>
    <w:multiLevelType w:val="hybridMultilevel"/>
    <w:tmpl w:val="7550F882"/>
    <w:lvl w:ilvl="0" w:tplc="5E80DAB6">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9EC0E07"/>
    <w:multiLevelType w:val="hybridMultilevel"/>
    <w:tmpl w:val="10FA8E16"/>
    <w:lvl w:ilvl="0" w:tplc="A79EF296">
      <w:start w:val="1"/>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pStyle w:val="3"/>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5B1921A0"/>
    <w:multiLevelType w:val="hybridMultilevel"/>
    <w:tmpl w:val="39D4C602"/>
    <w:lvl w:ilvl="0" w:tplc="0001040C">
      <w:start w:val="1"/>
      <w:numFmt w:val="bullet"/>
      <w:lvlText w:val=""/>
      <w:lvlJc w:val="left"/>
      <w:pPr>
        <w:tabs>
          <w:tab w:val="num" w:pos="720"/>
        </w:tabs>
        <w:ind w:left="720" w:hanging="360"/>
      </w:pPr>
      <w:rPr>
        <w:rFonts w:ascii="Symbol" w:eastAsia="Times New Roman" w:hAnsi="Symbol"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Times New Roman" w:hint="default"/>
      </w:rPr>
    </w:lvl>
    <w:lvl w:ilvl="3" w:tplc="0001040C">
      <w:start w:val="1"/>
      <w:numFmt w:val="bullet"/>
      <w:lvlText w:val=""/>
      <w:lvlJc w:val="left"/>
      <w:pPr>
        <w:tabs>
          <w:tab w:val="num" w:pos="2880"/>
        </w:tabs>
        <w:ind w:left="2880" w:hanging="360"/>
      </w:pPr>
      <w:rPr>
        <w:rFonts w:ascii="Symbol" w:eastAsia="Times New Roman" w:hAnsi="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Times New Roman" w:hint="default"/>
      </w:rPr>
    </w:lvl>
    <w:lvl w:ilvl="6" w:tplc="0001040C">
      <w:start w:val="1"/>
      <w:numFmt w:val="bullet"/>
      <w:lvlText w:val=""/>
      <w:lvlJc w:val="left"/>
      <w:pPr>
        <w:tabs>
          <w:tab w:val="num" w:pos="5040"/>
        </w:tabs>
        <w:ind w:left="5040" w:hanging="360"/>
      </w:pPr>
      <w:rPr>
        <w:rFonts w:ascii="Symbol" w:eastAsia="Times New Roman" w:hAnsi="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Times New Roman" w:hint="default"/>
      </w:rPr>
    </w:lvl>
  </w:abstractNum>
  <w:abstractNum w:abstractNumId="50">
    <w:nsid w:val="5B7C66F7"/>
    <w:multiLevelType w:val="hybridMultilevel"/>
    <w:tmpl w:val="B3A42366"/>
    <w:lvl w:ilvl="0" w:tplc="5E80DAB6">
      <w:numFmt w:val="bullet"/>
      <w:lvlText w:val="•"/>
      <w:lvlJc w:val="left"/>
      <w:pPr>
        <w:ind w:left="360" w:hanging="360"/>
      </w:pPr>
      <w:rPr>
        <w:rFonts w:ascii="Arial" w:eastAsia="SimSun" w:hAnsi="Aria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51">
    <w:nsid w:val="5D2D4F95"/>
    <w:multiLevelType w:val="hybridMultilevel"/>
    <w:tmpl w:val="9E76845C"/>
    <w:lvl w:ilvl="0" w:tplc="5E80DAB6">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3AA2A8A"/>
    <w:multiLevelType w:val="hybridMultilevel"/>
    <w:tmpl w:val="46C0A2F2"/>
    <w:lvl w:ilvl="0" w:tplc="5E80DAB6">
      <w:numFmt w:val="bullet"/>
      <w:lvlText w:val="•"/>
      <w:lvlJc w:val="left"/>
      <w:pPr>
        <w:ind w:left="360" w:hanging="360"/>
      </w:pPr>
      <w:rPr>
        <w:rFonts w:ascii="Arial" w:eastAsia="SimSun" w:hAnsi="Aria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53">
    <w:nsid w:val="656816DB"/>
    <w:multiLevelType w:val="hybridMultilevel"/>
    <w:tmpl w:val="0EECB5AC"/>
    <w:lvl w:ilvl="0" w:tplc="5E80DAB6">
      <w:numFmt w:val="bullet"/>
      <w:lvlText w:val="•"/>
      <w:lvlJc w:val="left"/>
      <w:pPr>
        <w:ind w:left="144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B03271A"/>
    <w:multiLevelType w:val="multilevel"/>
    <w:tmpl w:val="6680A9B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5">
    <w:nsid w:val="6D0B0987"/>
    <w:multiLevelType w:val="hybridMultilevel"/>
    <w:tmpl w:val="6E786120"/>
    <w:lvl w:ilvl="0" w:tplc="5E80DAB6">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F056D3C"/>
    <w:multiLevelType w:val="hybridMultilevel"/>
    <w:tmpl w:val="C68A224A"/>
    <w:lvl w:ilvl="0" w:tplc="5E80DAB6">
      <w:numFmt w:val="bullet"/>
      <w:lvlText w:val="•"/>
      <w:lvlJc w:val="left"/>
      <w:pPr>
        <w:ind w:left="720" w:hanging="360"/>
      </w:pPr>
      <w:rPr>
        <w:rFonts w:ascii="Arial" w:eastAsia="SimSu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70B06E73"/>
    <w:multiLevelType w:val="hybridMultilevel"/>
    <w:tmpl w:val="0A04BFE2"/>
    <w:lvl w:ilvl="0" w:tplc="5E80DAB6">
      <w:numFmt w:val="bullet"/>
      <w:lvlText w:val="•"/>
      <w:lvlJc w:val="left"/>
      <w:pPr>
        <w:ind w:left="1300" w:hanging="360"/>
      </w:pPr>
      <w:rPr>
        <w:rFonts w:ascii="Arial" w:eastAsia="SimSun" w:hAnsi="Arial" w:hint="default"/>
      </w:rPr>
    </w:lvl>
    <w:lvl w:ilvl="1" w:tplc="040C0003" w:tentative="1">
      <w:start w:val="1"/>
      <w:numFmt w:val="bullet"/>
      <w:lvlText w:val="o"/>
      <w:lvlJc w:val="left"/>
      <w:pPr>
        <w:ind w:left="2020" w:hanging="360"/>
      </w:pPr>
      <w:rPr>
        <w:rFonts w:ascii="Courier New" w:hAnsi="Courier New" w:hint="default"/>
      </w:rPr>
    </w:lvl>
    <w:lvl w:ilvl="2" w:tplc="040C0005" w:tentative="1">
      <w:start w:val="1"/>
      <w:numFmt w:val="bullet"/>
      <w:lvlText w:val=""/>
      <w:lvlJc w:val="left"/>
      <w:pPr>
        <w:ind w:left="2740" w:hanging="360"/>
      </w:pPr>
      <w:rPr>
        <w:rFonts w:ascii="Wingdings" w:hAnsi="Wingdings" w:hint="default"/>
      </w:rPr>
    </w:lvl>
    <w:lvl w:ilvl="3" w:tplc="040C0001">
      <w:start w:val="1"/>
      <w:numFmt w:val="bullet"/>
      <w:lvlText w:val=""/>
      <w:lvlJc w:val="left"/>
      <w:pPr>
        <w:ind w:left="3460" w:hanging="360"/>
      </w:pPr>
      <w:rPr>
        <w:rFonts w:ascii="Symbol" w:hAnsi="Symbol" w:hint="default"/>
      </w:rPr>
    </w:lvl>
    <w:lvl w:ilvl="4" w:tplc="040C0003" w:tentative="1">
      <w:start w:val="1"/>
      <w:numFmt w:val="bullet"/>
      <w:lvlText w:val="o"/>
      <w:lvlJc w:val="left"/>
      <w:pPr>
        <w:ind w:left="4180" w:hanging="360"/>
      </w:pPr>
      <w:rPr>
        <w:rFonts w:ascii="Courier New" w:hAnsi="Courier New" w:hint="default"/>
      </w:rPr>
    </w:lvl>
    <w:lvl w:ilvl="5" w:tplc="040C0005" w:tentative="1">
      <w:start w:val="1"/>
      <w:numFmt w:val="bullet"/>
      <w:lvlText w:val=""/>
      <w:lvlJc w:val="left"/>
      <w:pPr>
        <w:ind w:left="4900" w:hanging="360"/>
      </w:pPr>
      <w:rPr>
        <w:rFonts w:ascii="Wingdings" w:hAnsi="Wingdings" w:hint="default"/>
      </w:rPr>
    </w:lvl>
    <w:lvl w:ilvl="6" w:tplc="040C0001" w:tentative="1">
      <w:start w:val="1"/>
      <w:numFmt w:val="bullet"/>
      <w:lvlText w:val=""/>
      <w:lvlJc w:val="left"/>
      <w:pPr>
        <w:ind w:left="5620" w:hanging="360"/>
      </w:pPr>
      <w:rPr>
        <w:rFonts w:ascii="Symbol" w:hAnsi="Symbol" w:hint="default"/>
      </w:rPr>
    </w:lvl>
    <w:lvl w:ilvl="7" w:tplc="040C0003" w:tentative="1">
      <w:start w:val="1"/>
      <w:numFmt w:val="bullet"/>
      <w:lvlText w:val="o"/>
      <w:lvlJc w:val="left"/>
      <w:pPr>
        <w:ind w:left="6340" w:hanging="360"/>
      </w:pPr>
      <w:rPr>
        <w:rFonts w:ascii="Courier New" w:hAnsi="Courier New" w:hint="default"/>
      </w:rPr>
    </w:lvl>
    <w:lvl w:ilvl="8" w:tplc="040C0005" w:tentative="1">
      <w:start w:val="1"/>
      <w:numFmt w:val="bullet"/>
      <w:lvlText w:val=""/>
      <w:lvlJc w:val="left"/>
      <w:pPr>
        <w:ind w:left="7060" w:hanging="360"/>
      </w:pPr>
      <w:rPr>
        <w:rFonts w:ascii="Wingdings" w:hAnsi="Wingdings" w:hint="default"/>
      </w:rPr>
    </w:lvl>
  </w:abstractNum>
  <w:abstractNum w:abstractNumId="58">
    <w:nsid w:val="71AD557C"/>
    <w:multiLevelType w:val="hybridMultilevel"/>
    <w:tmpl w:val="65865B0E"/>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59">
    <w:nsid w:val="740A732A"/>
    <w:multiLevelType w:val="hybridMultilevel"/>
    <w:tmpl w:val="D5944938"/>
    <w:lvl w:ilvl="0" w:tplc="5E80DAB6">
      <w:numFmt w:val="bullet"/>
      <w:lvlText w:val="•"/>
      <w:lvlJc w:val="left"/>
      <w:pPr>
        <w:ind w:left="720" w:hanging="360"/>
      </w:pPr>
      <w:rPr>
        <w:rFonts w:ascii="Arial" w:eastAsia="SimSu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75BA2411"/>
    <w:multiLevelType w:val="hybridMultilevel"/>
    <w:tmpl w:val="98766170"/>
    <w:lvl w:ilvl="0" w:tplc="5E80DAB6">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6712EAA"/>
    <w:multiLevelType w:val="hybridMultilevel"/>
    <w:tmpl w:val="E2464150"/>
    <w:lvl w:ilvl="0" w:tplc="5E80DAB6">
      <w:numFmt w:val="bullet"/>
      <w:lvlText w:val="•"/>
      <w:lvlJc w:val="left"/>
      <w:pPr>
        <w:ind w:left="1300" w:hanging="360"/>
      </w:pPr>
      <w:rPr>
        <w:rFonts w:ascii="Arial" w:eastAsia="SimSun" w:hAnsi="Arial" w:hint="default"/>
      </w:rPr>
    </w:lvl>
    <w:lvl w:ilvl="1" w:tplc="040C0003" w:tentative="1">
      <w:start w:val="1"/>
      <w:numFmt w:val="bullet"/>
      <w:lvlText w:val="o"/>
      <w:lvlJc w:val="left"/>
      <w:pPr>
        <w:ind w:left="2020" w:hanging="360"/>
      </w:pPr>
      <w:rPr>
        <w:rFonts w:ascii="Courier New" w:hAnsi="Courier New" w:hint="default"/>
      </w:rPr>
    </w:lvl>
    <w:lvl w:ilvl="2" w:tplc="040C0005" w:tentative="1">
      <w:start w:val="1"/>
      <w:numFmt w:val="bullet"/>
      <w:lvlText w:val=""/>
      <w:lvlJc w:val="left"/>
      <w:pPr>
        <w:ind w:left="2740" w:hanging="360"/>
      </w:pPr>
      <w:rPr>
        <w:rFonts w:ascii="Wingdings" w:hAnsi="Wingdings" w:hint="default"/>
      </w:rPr>
    </w:lvl>
    <w:lvl w:ilvl="3" w:tplc="040C0001">
      <w:start w:val="1"/>
      <w:numFmt w:val="bullet"/>
      <w:lvlText w:val=""/>
      <w:lvlJc w:val="left"/>
      <w:pPr>
        <w:ind w:left="3460" w:hanging="360"/>
      </w:pPr>
      <w:rPr>
        <w:rFonts w:ascii="Symbol" w:hAnsi="Symbol" w:hint="default"/>
      </w:rPr>
    </w:lvl>
    <w:lvl w:ilvl="4" w:tplc="040C0003" w:tentative="1">
      <w:start w:val="1"/>
      <w:numFmt w:val="bullet"/>
      <w:lvlText w:val="o"/>
      <w:lvlJc w:val="left"/>
      <w:pPr>
        <w:ind w:left="4180" w:hanging="360"/>
      </w:pPr>
      <w:rPr>
        <w:rFonts w:ascii="Courier New" w:hAnsi="Courier New" w:hint="default"/>
      </w:rPr>
    </w:lvl>
    <w:lvl w:ilvl="5" w:tplc="040C0005" w:tentative="1">
      <w:start w:val="1"/>
      <w:numFmt w:val="bullet"/>
      <w:lvlText w:val=""/>
      <w:lvlJc w:val="left"/>
      <w:pPr>
        <w:ind w:left="4900" w:hanging="360"/>
      </w:pPr>
      <w:rPr>
        <w:rFonts w:ascii="Wingdings" w:hAnsi="Wingdings" w:hint="default"/>
      </w:rPr>
    </w:lvl>
    <w:lvl w:ilvl="6" w:tplc="040C0001" w:tentative="1">
      <w:start w:val="1"/>
      <w:numFmt w:val="bullet"/>
      <w:lvlText w:val=""/>
      <w:lvlJc w:val="left"/>
      <w:pPr>
        <w:ind w:left="5620" w:hanging="360"/>
      </w:pPr>
      <w:rPr>
        <w:rFonts w:ascii="Symbol" w:hAnsi="Symbol" w:hint="default"/>
      </w:rPr>
    </w:lvl>
    <w:lvl w:ilvl="7" w:tplc="040C0003" w:tentative="1">
      <w:start w:val="1"/>
      <w:numFmt w:val="bullet"/>
      <w:lvlText w:val="o"/>
      <w:lvlJc w:val="left"/>
      <w:pPr>
        <w:ind w:left="6340" w:hanging="360"/>
      </w:pPr>
      <w:rPr>
        <w:rFonts w:ascii="Courier New" w:hAnsi="Courier New" w:hint="default"/>
      </w:rPr>
    </w:lvl>
    <w:lvl w:ilvl="8" w:tplc="040C0005" w:tentative="1">
      <w:start w:val="1"/>
      <w:numFmt w:val="bullet"/>
      <w:lvlText w:val=""/>
      <w:lvlJc w:val="left"/>
      <w:pPr>
        <w:ind w:left="7060" w:hanging="360"/>
      </w:pPr>
      <w:rPr>
        <w:rFonts w:ascii="Wingdings" w:hAnsi="Wingdings" w:hint="default"/>
      </w:rPr>
    </w:lvl>
  </w:abstractNum>
  <w:abstractNum w:abstractNumId="62">
    <w:nsid w:val="76B01EA2"/>
    <w:multiLevelType w:val="hybridMultilevel"/>
    <w:tmpl w:val="AA8072B4"/>
    <w:lvl w:ilvl="0" w:tplc="5E80DAB6">
      <w:numFmt w:val="bullet"/>
      <w:lvlText w:val="•"/>
      <w:lvlJc w:val="left"/>
      <w:pPr>
        <w:ind w:left="720" w:hanging="360"/>
      </w:pPr>
      <w:rPr>
        <w:rFonts w:ascii="Arial" w:eastAsia="SimSu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76EB579F"/>
    <w:multiLevelType w:val="hybridMultilevel"/>
    <w:tmpl w:val="52C6D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7C8C6A6C"/>
    <w:multiLevelType w:val="hybridMultilevel"/>
    <w:tmpl w:val="6150D72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7D27052A"/>
    <w:multiLevelType w:val="hybridMultilevel"/>
    <w:tmpl w:val="9A0AE186"/>
    <w:lvl w:ilvl="0" w:tplc="5E80DAB6">
      <w:numFmt w:val="bullet"/>
      <w:lvlText w:val="•"/>
      <w:lvlJc w:val="left"/>
      <w:pPr>
        <w:ind w:left="720" w:hanging="360"/>
      </w:pPr>
      <w:rPr>
        <w:rFonts w:ascii="Arial" w:eastAsia="SimSu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7E6D6B9B"/>
    <w:multiLevelType w:val="hybridMultilevel"/>
    <w:tmpl w:val="58EAA030"/>
    <w:lvl w:ilvl="0" w:tplc="000F040C">
      <w:start w:val="1"/>
      <w:numFmt w:val="decimal"/>
      <w:lvlText w:val="%1."/>
      <w:lvlJc w:val="left"/>
      <w:pPr>
        <w:tabs>
          <w:tab w:val="num" w:pos="720"/>
        </w:tabs>
        <w:ind w:left="720" w:hanging="360"/>
      </w:pPr>
      <w:rPr>
        <w:rFonts w:hint="default"/>
      </w:rPr>
    </w:lvl>
    <w:lvl w:ilvl="1" w:tplc="0019040C">
      <w:start w:val="1"/>
      <w:numFmt w:val="lowerLetter"/>
      <w:lvlText w:val="%2."/>
      <w:lvlJc w:val="left"/>
      <w:pPr>
        <w:tabs>
          <w:tab w:val="num" w:pos="1440"/>
        </w:tabs>
        <w:ind w:left="1440" w:hanging="360"/>
      </w:p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67">
    <w:nsid w:val="7FCC057F"/>
    <w:multiLevelType w:val="hybridMultilevel"/>
    <w:tmpl w:val="21226604"/>
    <w:lvl w:ilvl="0" w:tplc="5E80DAB6">
      <w:numFmt w:val="bullet"/>
      <w:lvlText w:val="•"/>
      <w:lvlJc w:val="left"/>
      <w:pPr>
        <w:ind w:left="360" w:hanging="360"/>
      </w:pPr>
      <w:rPr>
        <w:rFonts w:ascii="Arial" w:eastAsia="SimSun" w:hAnsi="Aria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abstractNumId w:val="48"/>
  </w:num>
  <w:num w:numId="2">
    <w:abstractNumId w:val="19"/>
  </w:num>
  <w:num w:numId="3">
    <w:abstractNumId w:val="43"/>
  </w:num>
  <w:num w:numId="4">
    <w:abstractNumId w:val="0"/>
  </w:num>
  <w:num w:numId="5">
    <w:abstractNumId w:val="64"/>
  </w:num>
  <w:num w:numId="6">
    <w:abstractNumId w:val="14"/>
  </w:num>
  <w:num w:numId="7">
    <w:abstractNumId w:val="51"/>
  </w:num>
  <w:num w:numId="8">
    <w:abstractNumId w:val="45"/>
  </w:num>
  <w:num w:numId="9">
    <w:abstractNumId w:val="40"/>
  </w:num>
  <w:num w:numId="10">
    <w:abstractNumId w:val="46"/>
  </w:num>
  <w:num w:numId="11">
    <w:abstractNumId w:val="21"/>
  </w:num>
  <w:num w:numId="12">
    <w:abstractNumId w:val="30"/>
  </w:num>
  <w:num w:numId="13">
    <w:abstractNumId w:val="37"/>
  </w:num>
  <w:num w:numId="14">
    <w:abstractNumId w:val="15"/>
  </w:num>
  <w:num w:numId="15">
    <w:abstractNumId w:val="54"/>
  </w:num>
  <w:num w:numId="16">
    <w:abstractNumId w:val="49"/>
  </w:num>
  <w:num w:numId="17">
    <w:abstractNumId w:val="27"/>
  </w:num>
  <w:num w:numId="18">
    <w:abstractNumId w:val="22"/>
  </w:num>
  <w:num w:numId="19">
    <w:abstractNumId w:val="66"/>
  </w:num>
  <w:num w:numId="20">
    <w:abstractNumId w:val="23"/>
  </w:num>
  <w:num w:numId="21">
    <w:abstractNumId w:val="58"/>
  </w:num>
  <w:num w:numId="22">
    <w:abstractNumId w:val="33"/>
  </w:num>
  <w:num w:numId="23">
    <w:abstractNumId w:val="53"/>
  </w:num>
  <w:num w:numId="24">
    <w:abstractNumId w:val="65"/>
  </w:num>
  <w:num w:numId="25">
    <w:abstractNumId w:val="7"/>
  </w:num>
  <w:num w:numId="26">
    <w:abstractNumId w:val="35"/>
  </w:num>
  <w:num w:numId="27">
    <w:abstractNumId w:val="20"/>
  </w:num>
  <w:num w:numId="28">
    <w:abstractNumId w:val="13"/>
  </w:num>
  <w:num w:numId="29">
    <w:abstractNumId w:val="67"/>
  </w:num>
  <w:num w:numId="30">
    <w:abstractNumId w:val="62"/>
  </w:num>
  <w:num w:numId="31">
    <w:abstractNumId w:val="44"/>
  </w:num>
  <w:num w:numId="32">
    <w:abstractNumId w:val="1"/>
  </w:num>
  <w:num w:numId="33">
    <w:abstractNumId w:val="52"/>
  </w:num>
  <w:num w:numId="34">
    <w:abstractNumId w:val="50"/>
  </w:num>
  <w:num w:numId="35">
    <w:abstractNumId w:val="57"/>
  </w:num>
  <w:num w:numId="36">
    <w:abstractNumId w:val="61"/>
  </w:num>
  <w:num w:numId="37">
    <w:abstractNumId w:val="4"/>
  </w:num>
  <w:num w:numId="38">
    <w:abstractNumId w:val="17"/>
  </w:num>
  <w:num w:numId="39">
    <w:abstractNumId w:val="3"/>
  </w:num>
  <w:num w:numId="40">
    <w:abstractNumId w:val="38"/>
  </w:num>
  <w:num w:numId="41">
    <w:abstractNumId w:val="36"/>
  </w:num>
  <w:num w:numId="42">
    <w:abstractNumId w:val="32"/>
  </w:num>
  <w:num w:numId="43">
    <w:abstractNumId w:val="55"/>
  </w:num>
  <w:num w:numId="44">
    <w:abstractNumId w:val="16"/>
  </w:num>
  <w:num w:numId="45">
    <w:abstractNumId w:val="60"/>
  </w:num>
  <w:num w:numId="46">
    <w:abstractNumId w:val="41"/>
  </w:num>
  <w:num w:numId="47">
    <w:abstractNumId w:val="6"/>
  </w:num>
  <w:num w:numId="48">
    <w:abstractNumId w:val="24"/>
  </w:num>
  <w:num w:numId="49">
    <w:abstractNumId w:val="18"/>
  </w:num>
  <w:num w:numId="50">
    <w:abstractNumId w:val="25"/>
  </w:num>
  <w:num w:numId="51">
    <w:abstractNumId w:val="34"/>
  </w:num>
  <w:num w:numId="52">
    <w:abstractNumId w:val="56"/>
  </w:num>
  <w:num w:numId="53">
    <w:abstractNumId w:val="31"/>
  </w:num>
  <w:num w:numId="54">
    <w:abstractNumId w:val="47"/>
  </w:num>
  <w:num w:numId="55">
    <w:abstractNumId w:val="42"/>
  </w:num>
  <w:num w:numId="56">
    <w:abstractNumId w:val="12"/>
  </w:num>
  <w:num w:numId="57">
    <w:abstractNumId w:val="2"/>
  </w:num>
  <w:num w:numId="58">
    <w:abstractNumId w:val="59"/>
  </w:num>
  <w:num w:numId="59">
    <w:abstractNumId w:val="26"/>
  </w:num>
  <w:num w:numId="60">
    <w:abstractNumId w:val="39"/>
  </w:num>
  <w:num w:numId="61">
    <w:abstractNumId w:val="28"/>
  </w:num>
  <w:num w:numId="62">
    <w:abstractNumId w:val="29"/>
  </w:num>
  <w:num w:numId="63">
    <w:abstractNumId w:val="9"/>
  </w:num>
  <w:num w:numId="64">
    <w:abstractNumId w:val="5"/>
  </w:num>
  <w:num w:numId="65">
    <w:abstractNumId w:val="8"/>
  </w:num>
  <w:num w:numId="66">
    <w:abstractNumId w:val="10"/>
  </w:num>
  <w:num w:numId="67">
    <w:abstractNumId w:val="11"/>
  </w:num>
  <w:num w:numId="68">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786"/>
    <w:rsid w:val="00014FF4"/>
    <w:rsid w:val="000265F1"/>
    <w:rsid w:val="00026BA8"/>
    <w:rsid w:val="00026F8F"/>
    <w:rsid w:val="0003459A"/>
    <w:rsid w:val="000346A5"/>
    <w:rsid w:val="00040577"/>
    <w:rsid w:val="00045607"/>
    <w:rsid w:val="00047FF6"/>
    <w:rsid w:val="000565D8"/>
    <w:rsid w:val="00060EF2"/>
    <w:rsid w:val="00063386"/>
    <w:rsid w:val="000661A2"/>
    <w:rsid w:val="000746D3"/>
    <w:rsid w:val="00076DD6"/>
    <w:rsid w:val="00080F3C"/>
    <w:rsid w:val="000863E6"/>
    <w:rsid w:val="00090C91"/>
    <w:rsid w:val="00095EFB"/>
    <w:rsid w:val="000A6D45"/>
    <w:rsid w:val="000B06AD"/>
    <w:rsid w:val="000B34C0"/>
    <w:rsid w:val="000B7C37"/>
    <w:rsid w:val="000C235B"/>
    <w:rsid w:val="000C4F5A"/>
    <w:rsid w:val="000E4076"/>
    <w:rsid w:val="000E6241"/>
    <w:rsid w:val="000F0345"/>
    <w:rsid w:val="000F5065"/>
    <w:rsid w:val="00100D56"/>
    <w:rsid w:val="00101CFD"/>
    <w:rsid w:val="001038E9"/>
    <w:rsid w:val="00107C96"/>
    <w:rsid w:val="00112802"/>
    <w:rsid w:val="00123559"/>
    <w:rsid w:val="001250D7"/>
    <w:rsid w:val="0012573C"/>
    <w:rsid w:val="00135F1C"/>
    <w:rsid w:val="00136AC6"/>
    <w:rsid w:val="00150F58"/>
    <w:rsid w:val="001510A9"/>
    <w:rsid w:val="00153C37"/>
    <w:rsid w:val="00155DD3"/>
    <w:rsid w:val="00161DCB"/>
    <w:rsid w:val="001769A5"/>
    <w:rsid w:val="00176DF0"/>
    <w:rsid w:val="00185FF6"/>
    <w:rsid w:val="00192BF2"/>
    <w:rsid w:val="00194481"/>
    <w:rsid w:val="001B277B"/>
    <w:rsid w:val="001B688B"/>
    <w:rsid w:val="001C6C27"/>
    <w:rsid w:val="001D2B32"/>
    <w:rsid w:val="001D6B10"/>
    <w:rsid w:val="001E726A"/>
    <w:rsid w:val="001F0EC4"/>
    <w:rsid w:val="001F2159"/>
    <w:rsid w:val="00214CB5"/>
    <w:rsid w:val="002174E0"/>
    <w:rsid w:val="00230C42"/>
    <w:rsid w:val="00232071"/>
    <w:rsid w:val="00234456"/>
    <w:rsid w:val="00237417"/>
    <w:rsid w:val="00237C4F"/>
    <w:rsid w:val="00241384"/>
    <w:rsid w:val="00241832"/>
    <w:rsid w:val="00254FD2"/>
    <w:rsid w:val="002743BC"/>
    <w:rsid w:val="00276D3A"/>
    <w:rsid w:val="00277263"/>
    <w:rsid w:val="0029014E"/>
    <w:rsid w:val="00297911"/>
    <w:rsid w:val="002A1E5A"/>
    <w:rsid w:val="002A40E3"/>
    <w:rsid w:val="002C04CA"/>
    <w:rsid w:val="002C2DDD"/>
    <w:rsid w:val="002D20E1"/>
    <w:rsid w:val="002E5CA7"/>
    <w:rsid w:val="002E61EC"/>
    <w:rsid w:val="002E71E0"/>
    <w:rsid w:val="003021BD"/>
    <w:rsid w:val="00302A4B"/>
    <w:rsid w:val="00307879"/>
    <w:rsid w:val="00312A5F"/>
    <w:rsid w:val="0032569E"/>
    <w:rsid w:val="003267B5"/>
    <w:rsid w:val="00330F33"/>
    <w:rsid w:val="00334700"/>
    <w:rsid w:val="00334DA1"/>
    <w:rsid w:val="00360662"/>
    <w:rsid w:val="00361437"/>
    <w:rsid w:val="00364438"/>
    <w:rsid w:val="00366157"/>
    <w:rsid w:val="003740F0"/>
    <w:rsid w:val="003826FF"/>
    <w:rsid w:val="00383400"/>
    <w:rsid w:val="003910DB"/>
    <w:rsid w:val="003917AC"/>
    <w:rsid w:val="003A6934"/>
    <w:rsid w:val="003B229D"/>
    <w:rsid w:val="003B3E3B"/>
    <w:rsid w:val="003B7BFA"/>
    <w:rsid w:val="003C32C9"/>
    <w:rsid w:val="003C74C8"/>
    <w:rsid w:val="003D5225"/>
    <w:rsid w:val="003D7919"/>
    <w:rsid w:val="003E5F27"/>
    <w:rsid w:val="003E696B"/>
    <w:rsid w:val="003F234F"/>
    <w:rsid w:val="003F3792"/>
    <w:rsid w:val="00403EA5"/>
    <w:rsid w:val="00405FC4"/>
    <w:rsid w:val="004077C9"/>
    <w:rsid w:val="00412A4C"/>
    <w:rsid w:val="00412D4A"/>
    <w:rsid w:val="00412F23"/>
    <w:rsid w:val="00413A4B"/>
    <w:rsid w:val="00415EDF"/>
    <w:rsid w:val="00416153"/>
    <w:rsid w:val="00422E7F"/>
    <w:rsid w:val="00424325"/>
    <w:rsid w:val="004252A5"/>
    <w:rsid w:val="00454B64"/>
    <w:rsid w:val="0045684A"/>
    <w:rsid w:val="00466221"/>
    <w:rsid w:val="0047572C"/>
    <w:rsid w:val="004774DC"/>
    <w:rsid w:val="004939ED"/>
    <w:rsid w:val="004A1E0C"/>
    <w:rsid w:val="004A6347"/>
    <w:rsid w:val="004B01BB"/>
    <w:rsid w:val="004B2D93"/>
    <w:rsid w:val="004B4F33"/>
    <w:rsid w:val="004B5EB8"/>
    <w:rsid w:val="004C4BB9"/>
    <w:rsid w:val="004F1177"/>
    <w:rsid w:val="004F5F2B"/>
    <w:rsid w:val="005014E5"/>
    <w:rsid w:val="00506B69"/>
    <w:rsid w:val="00525E50"/>
    <w:rsid w:val="005352CF"/>
    <w:rsid w:val="0053658E"/>
    <w:rsid w:val="00540CDE"/>
    <w:rsid w:val="00540CF1"/>
    <w:rsid w:val="00542755"/>
    <w:rsid w:val="005433CE"/>
    <w:rsid w:val="00544197"/>
    <w:rsid w:val="00547D77"/>
    <w:rsid w:val="00570C49"/>
    <w:rsid w:val="0057352F"/>
    <w:rsid w:val="005757F3"/>
    <w:rsid w:val="00585266"/>
    <w:rsid w:val="00585630"/>
    <w:rsid w:val="00592786"/>
    <w:rsid w:val="0059703D"/>
    <w:rsid w:val="00597DCD"/>
    <w:rsid w:val="005A2790"/>
    <w:rsid w:val="005C3DAB"/>
    <w:rsid w:val="005C7439"/>
    <w:rsid w:val="005E09BF"/>
    <w:rsid w:val="005E7D3F"/>
    <w:rsid w:val="005F04EA"/>
    <w:rsid w:val="006028ED"/>
    <w:rsid w:val="0060384F"/>
    <w:rsid w:val="00627420"/>
    <w:rsid w:val="006340E4"/>
    <w:rsid w:val="00635E18"/>
    <w:rsid w:val="006364B9"/>
    <w:rsid w:val="00637F92"/>
    <w:rsid w:val="00640CD0"/>
    <w:rsid w:val="00661C4D"/>
    <w:rsid w:val="00671FDF"/>
    <w:rsid w:val="006834D8"/>
    <w:rsid w:val="00683C9B"/>
    <w:rsid w:val="00691DBC"/>
    <w:rsid w:val="006A3D86"/>
    <w:rsid w:val="006A5BEC"/>
    <w:rsid w:val="006B17A1"/>
    <w:rsid w:val="006B26F7"/>
    <w:rsid w:val="006B3BCD"/>
    <w:rsid w:val="006B5486"/>
    <w:rsid w:val="006C4436"/>
    <w:rsid w:val="006D18BD"/>
    <w:rsid w:val="006F3BB2"/>
    <w:rsid w:val="006F6F7E"/>
    <w:rsid w:val="00717C94"/>
    <w:rsid w:val="00721521"/>
    <w:rsid w:val="00724AF5"/>
    <w:rsid w:val="007270F8"/>
    <w:rsid w:val="007552F3"/>
    <w:rsid w:val="00770A46"/>
    <w:rsid w:val="007735F9"/>
    <w:rsid w:val="00773B19"/>
    <w:rsid w:val="00784D5E"/>
    <w:rsid w:val="007A4ED6"/>
    <w:rsid w:val="007B5752"/>
    <w:rsid w:val="007C6A74"/>
    <w:rsid w:val="007D6885"/>
    <w:rsid w:val="007E33E3"/>
    <w:rsid w:val="007E3543"/>
    <w:rsid w:val="007F0F72"/>
    <w:rsid w:val="00817B82"/>
    <w:rsid w:val="00826651"/>
    <w:rsid w:val="00832817"/>
    <w:rsid w:val="00863912"/>
    <w:rsid w:val="008749E9"/>
    <w:rsid w:val="00884E2A"/>
    <w:rsid w:val="00895F00"/>
    <w:rsid w:val="008B00B7"/>
    <w:rsid w:val="008B7C2C"/>
    <w:rsid w:val="008B7D98"/>
    <w:rsid w:val="008C5AFC"/>
    <w:rsid w:val="008D5F4A"/>
    <w:rsid w:val="008F345F"/>
    <w:rsid w:val="008F49F8"/>
    <w:rsid w:val="00903C36"/>
    <w:rsid w:val="009044AB"/>
    <w:rsid w:val="0091541A"/>
    <w:rsid w:val="009167B5"/>
    <w:rsid w:val="0091793E"/>
    <w:rsid w:val="009210ED"/>
    <w:rsid w:val="00932EEE"/>
    <w:rsid w:val="0093520F"/>
    <w:rsid w:val="009400AD"/>
    <w:rsid w:val="00944A9C"/>
    <w:rsid w:val="00951A07"/>
    <w:rsid w:val="00954473"/>
    <w:rsid w:val="00961869"/>
    <w:rsid w:val="00967EB8"/>
    <w:rsid w:val="00972EB0"/>
    <w:rsid w:val="00975CBE"/>
    <w:rsid w:val="0097771C"/>
    <w:rsid w:val="00984137"/>
    <w:rsid w:val="009921FD"/>
    <w:rsid w:val="00993391"/>
    <w:rsid w:val="0099587B"/>
    <w:rsid w:val="009A6BFA"/>
    <w:rsid w:val="009B20A7"/>
    <w:rsid w:val="009B694B"/>
    <w:rsid w:val="009B6D3E"/>
    <w:rsid w:val="009C0966"/>
    <w:rsid w:val="009C595E"/>
    <w:rsid w:val="009D6B6B"/>
    <w:rsid w:val="009E0936"/>
    <w:rsid w:val="009F4C96"/>
    <w:rsid w:val="009F6D02"/>
    <w:rsid w:val="00A01FF0"/>
    <w:rsid w:val="00A10A48"/>
    <w:rsid w:val="00A221EA"/>
    <w:rsid w:val="00A22F16"/>
    <w:rsid w:val="00A27C26"/>
    <w:rsid w:val="00A30018"/>
    <w:rsid w:val="00A3517F"/>
    <w:rsid w:val="00A3563F"/>
    <w:rsid w:val="00A35CE3"/>
    <w:rsid w:val="00A40420"/>
    <w:rsid w:val="00A40690"/>
    <w:rsid w:val="00A40CBB"/>
    <w:rsid w:val="00A532C7"/>
    <w:rsid w:val="00A70E15"/>
    <w:rsid w:val="00A720B1"/>
    <w:rsid w:val="00A72D2F"/>
    <w:rsid w:val="00A72D85"/>
    <w:rsid w:val="00A73049"/>
    <w:rsid w:val="00A90127"/>
    <w:rsid w:val="00A95319"/>
    <w:rsid w:val="00A97643"/>
    <w:rsid w:val="00AA18E4"/>
    <w:rsid w:val="00AC3B80"/>
    <w:rsid w:val="00AC759C"/>
    <w:rsid w:val="00AD00BC"/>
    <w:rsid w:val="00AE3FF8"/>
    <w:rsid w:val="00AE6ED6"/>
    <w:rsid w:val="00AF1B09"/>
    <w:rsid w:val="00AF5A00"/>
    <w:rsid w:val="00B01577"/>
    <w:rsid w:val="00B21572"/>
    <w:rsid w:val="00B21FC8"/>
    <w:rsid w:val="00B245EF"/>
    <w:rsid w:val="00B304B9"/>
    <w:rsid w:val="00B32F06"/>
    <w:rsid w:val="00B438B7"/>
    <w:rsid w:val="00B56141"/>
    <w:rsid w:val="00B613FE"/>
    <w:rsid w:val="00B71838"/>
    <w:rsid w:val="00B72C2F"/>
    <w:rsid w:val="00B75E13"/>
    <w:rsid w:val="00B81DC2"/>
    <w:rsid w:val="00B90A9F"/>
    <w:rsid w:val="00BA2CDA"/>
    <w:rsid w:val="00BB3E0B"/>
    <w:rsid w:val="00BB44AC"/>
    <w:rsid w:val="00BB620A"/>
    <w:rsid w:val="00BC7448"/>
    <w:rsid w:val="00BD09C5"/>
    <w:rsid w:val="00BD20A7"/>
    <w:rsid w:val="00BD7C05"/>
    <w:rsid w:val="00BE1911"/>
    <w:rsid w:val="00BE3022"/>
    <w:rsid w:val="00BE5386"/>
    <w:rsid w:val="00BF471A"/>
    <w:rsid w:val="00C01195"/>
    <w:rsid w:val="00C0267C"/>
    <w:rsid w:val="00C1659C"/>
    <w:rsid w:val="00C17DB5"/>
    <w:rsid w:val="00C20460"/>
    <w:rsid w:val="00C24FB8"/>
    <w:rsid w:val="00C27FE9"/>
    <w:rsid w:val="00C41E38"/>
    <w:rsid w:val="00C4264F"/>
    <w:rsid w:val="00C44242"/>
    <w:rsid w:val="00C4514D"/>
    <w:rsid w:val="00C5586D"/>
    <w:rsid w:val="00C57447"/>
    <w:rsid w:val="00C57544"/>
    <w:rsid w:val="00C77F3F"/>
    <w:rsid w:val="00C82E8B"/>
    <w:rsid w:val="00CA10F2"/>
    <w:rsid w:val="00CB6B70"/>
    <w:rsid w:val="00CC65DB"/>
    <w:rsid w:val="00CD42DD"/>
    <w:rsid w:val="00CE6A52"/>
    <w:rsid w:val="00CF3115"/>
    <w:rsid w:val="00CF4C08"/>
    <w:rsid w:val="00CF73F8"/>
    <w:rsid w:val="00D136EA"/>
    <w:rsid w:val="00D13EAC"/>
    <w:rsid w:val="00D20D5C"/>
    <w:rsid w:val="00D370D7"/>
    <w:rsid w:val="00D412CC"/>
    <w:rsid w:val="00D4641C"/>
    <w:rsid w:val="00D466AE"/>
    <w:rsid w:val="00D63D58"/>
    <w:rsid w:val="00D670AA"/>
    <w:rsid w:val="00D67ECF"/>
    <w:rsid w:val="00D7402F"/>
    <w:rsid w:val="00D82164"/>
    <w:rsid w:val="00D90831"/>
    <w:rsid w:val="00DA4B46"/>
    <w:rsid w:val="00DA75CF"/>
    <w:rsid w:val="00DB0369"/>
    <w:rsid w:val="00DB3BD4"/>
    <w:rsid w:val="00DB4E68"/>
    <w:rsid w:val="00DB7DC7"/>
    <w:rsid w:val="00DC282F"/>
    <w:rsid w:val="00DC73D9"/>
    <w:rsid w:val="00DD4034"/>
    <w:rsid w:val="00DE412E"/>
    <w:rsid w:val="00DF411C"/>
    <w:rsid w:val="00DF602D"/>
    <w:rsid w:val="00E16C58"/>
    <w:rsid w:val="00E21452"/>
    <w:rsid w:val="00E22BFE"/>
    <w:rsid w:val="00E3226F"/>
    <w:rsid w:val="00E36D34"/>
    <w:rsid w:val="00E447FC"/>
    <w:rsid w:val="00E44E07"/>
    <w:rsid w:val="00E465D9"/>
    <w:rsid w:val="00E60AC2"/>
    <w:rsid w:val="00E611D8"/>
    <w:rsid w:val="00E62C08"/>
    <w:rsid w:val="00E63C1B"/>
    <w:rsid w:val="00E65CCD"/>
    <w:rsid w:val="00E73A82"/>
    <w:rsid w:val="00E74FBF"/>
    <w:rsid w:val="00E85D71"/>
    <w:rsid w:val="00E94B3D"/>
    <w:rsid w:val="00EA4B30"/>
    <w:rsid w:val="00EB0423"/>
    <w:rsid w:val="00EC08AF"/>
    <w:rsid w:val="00EC71F7"/>
    <w:rsid w:val="00ED1288"/>
    <w:rsid w:val="00ED6DCD"/>
    <w:rsid w:val="00EE0B26"/>
    <w:rsid w:val="00EE50A0"/>
    <w:rsid w:val="00EF40E4"/>
    <w:rsid w:val="00EF46BC"/>
    <w:rsid w:val="00EF7A7A"/>
    <w:rsid w:val="00F11811"/>
    <w:rsid w:val="00F201D4"/>
    <w:rsid w:val="00F2023C"/>
    <w:rsid w:val="00F20AAB"/>
    <w:rsid w:val="00F239EE"/>
    <w:rsid w:val="00F24251"/>
    <w:rsid w:val="00F26CF3"/>
    <w:rsid w:val="00F345FD"/>
    <w:rsid w:val="00F516BB"/>
    <w:rsid w:val="00F54AEA"/>
    <w:rsid w:val="00F85980"/>
    <w:rsid w:val="00F94191"/>
    <w:rsid w:val="00FA1AE7"/>
    <w:rsid w:val="00FA25C5"/>
    <w:rsid w:val="00FA3F76"/>
    <w:rsid w:val="00FB4A24"/>
    <w:rsid w:val="00FB5B7D"/>
    <w:rsid w:val="00FD10D9"/>
    <w:rsid w:val="00FE1138"/>
    <w:rsid w:val="00FF01A8"/>
    <w:rsid w:val="00FF4708"/>
    <w:rsid w:val="00FF718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159"/>
    <w:rPr>
      <w:rFonts w:ascii="Times New Roman" w:eastAsia="Times New Roman" w:hAnsi="Times New Roman"/>
      <w:sz w:val="24"/>
      <w:szCs w:val="24"/>
      <w:lang w:val="en-GB"/>
    </w:rPr>
  </w:style>
  <w:style w:type="paragraph" w:styleId="1">
    <w:name w:val="heading 1"/>
    <w:basedOn w:val="a"/>
    <w:next w:val="a"/>
    <w:link w:val="10"/>
    <w:uiPriority w:val="99"/>
    <w:qFormat/>
    <w:rsid w:val="007552F3"/>
    <w:pPr>
      <w:keepNext/>
      <w:tabs>
        <w:tab w:val="num" w:pos="360"/>
      </w:tabs>
      <w:spacing w:before="240" w:after="240"/>
      <w:ind w:left="360" w:hanging="360"/>
      <w:jc w:val="both"/>
      <w:outlineLvl w:val="0"/>
    </w:pPr>
    <w:rPr>
      <w:rFonts w:eastAsia="Calibri"/>
      <w:b/>
      <w:bCs/>
      <w:smallCaps/>
    </w:rPr>
  </w:style>
  <w:style w:type="paragraph" w:styleId="2">
    <w:name w:val="heading 2"/>
    <w:basedOn w:val="a"/>
    <w:next w:val="a"/>
    <w:link w:val="20"/>
    <w:uiPriority w:val="99"/>
    <w:qFormat/>
    <w:rsid w:val="00570C49"/>
    <w:pPr>
      <w:keepNext/>
      <w:tabs>
        <w:tab w:val="left" w:pos="708"/>
      </w:tabs>
      <w:spacing w:after="240"/>
      <w:jc w:val="both"/>
      <w:outlineLvl w:val="1"/>
    </w:pPr>
    <w:rPr>
      <w:rFonts w:ascii="Verdana" w:eastAsia="Calibri" w:hAnsi="Verdana"/>
      <w:b/>
      <w:bCs/>
    </w:rPr>
  </w:style>
  <w:style w:type="paragraph" w:styleId="3">
    <w:name w:val="heading 3"/>
    <w:basedOn w:val="a"/>
    <w:next w:val="a"/>
    <w:link w:val="30"/>
    <w:uiPriority w:val="99"/>
    <w:qFormat/>
    <w:rsid w:val="007552F3"/>
    <w:pPr>
      <w:keepNext/>
      <w:numPr>
        <w:ilvl w:val="2"/>
        <w:numId w:val="1"/>
      </w:numPr>
      <w:tabs>
        <w:tab w:val="num" w:pos="1920"/>
      </w:tabs>
      <w:spacing w:after="240"/>
      <w:ind w:left="1920" w:hanging="720"/>
      <w:jc w:val="both"/>
      <w:outlineLvl w:val="2"/>
    </w:pPr>
    <w:rPr>
      <w:rFonts w:eastAsia="Calibri"/>
      <w:i/>
      <w:iCs/>
    </w:rPr>
  </w:style>
  <w:style w:type="paragraph" w:styleId="4">
    <w:name w:val="heading 4"/>
    <w:basedOn w:val="a"/>
    <w:next w:val="a"/>
    <w:link w:val="40"/>
    <w:uiPriority w:val="99"/>
    <w:qFormat/>
    <w:rsid w:val="007552F3"/>
    <w:pPr>
      <w:spacing w:after="200" w:line="276" w:lineRule="auto"/>
      <w:jc w:val="both"/>
      <w:outlineLvl w:val="3"/>
    </w:pPr>
    <w:rPr>
      <w:rFonts w:ascii="Verdana" w:eastAsia="Calibri" w:hAnsi="Verdana"/>
      <w:b/>
      <w:sz w:val="20"/>
      <w:szCs w:val="20"/>
    </w:rPr>
  </w:style>
  <w:style w:type="paragraph" w:styleId="5">
    <w:name w:val="heading 5"/>
    <w:basedOn w:val="a"/>
    <w:next w:val="a"/>
    <w:link w:val="50"/>
    <w:uiPriority w:val="99"/>
    <w:qFormat/>
    <w:rsid w:val="007552F3"/>
    <w:pPr>
      <w:spacing w:line="276" w:lineRule="auto"/>
      <w:jc w:val="both"/>
      <w:outlineLvl w:val="4"/>
    </w:pPr>
    <w:rPr>
      <w:rFonts w:ascii="Calibri" w:eastAsia="Calibri" w:hAnsi="Calibri"/>
      <w:i/>
      <w:sz w:val="20"/>
      <w:szCs w:val="20"/>
    </w:rPr>
  </w:style>
  <w:style w:type="paragraph" w:styleId="6">
    <w:name w:val="heading 6"/>
    <w:basedOn w:val="a"/>
    <w:next w:val="a"/>
    <w:link w:val="60"/>
    <w:qFormat/>
    <w:rsid w:val="0099587B"/>
    <w:pPr>
      <w:keepNext/>
      <w:widowControl w:val="0"/>
      <w:suppressAutoHyphens/>
      <w:spacing w:before="120" w:after="120"/>
      <w:jc w:val="center"/>
      <w:outlineLvl w:val="5"/>
    </w:pPr>
    <w:rPr>
      <w:rFonts w:ascii="Verdana" w:eastAsia="SimSun" w:hAnsi="Verdana" w:cs="Mangal"/>
      <w:b/>
      <w:bCs/>
      <w:kern w:val="1"/>
      <w:lang w:eastAsia="de-DE" w:bidi="hi-IN"/>
    </w:rPr>
  </w:style>
  <w:style w:type="paragraph" w:styleId="7">
    <w:name w:val="heading 7"/>
    <w:basedOn w:val="a"/>
    <w:next w:val="a"/>
    <w:link w:val="70"/>
    <w:qFormat/>
    <w:rsid w:val="0099587B"/>
    <w:pPr>
      <w:keepNext/>
      <w:widowControl w:val="0"/>
      <w:suppressAutoHyphens/>
      <w:spacing w:before="120" w:after="120"/>
      <w:outlineLvl w:val="6"/>
    </w:pPr>
    <w:rPr>
      <w:rFonts w:ascii="Verdana" w:eastAsia="SimSun" w:hAnsi="Verdana" w:cs="Mangal"/>
      <w:b/>
      <w:bCs/>
      <w:kern w:val="1"/>
      <w:lang w:eastAsia="hi-IN" w:bidi="hi-IN"/>
    </w:rPr>
  </w:style>
  <w:style w:type="paragraph" w:styleId="8">
    <w:name w:val="heading 8"/>
    <w:basedOn w:val="a"/>
    <w:next w:val="a"/>
    <w:link w:val="80"/>
    <w:qFormat/>
    <w:rsid w:val="0099587B"/>
    <w:pPr>
      <w:keepNext/>
      <w:widowControl w:val="0"/>
      <w:suppressAutoHyphens/>
      <w:outlineLvl w:val="7"/>
    </w:pPr>
    <w:rPr>
      <w:rFonts w:ascii="Verdana" w:eastAsia="SimSun" w:hAnsi="Verdana" w:cs="Mangal"/>
      <w:b/>
      <w:bCs/>
      <w:color w:val="000000"/>
      <w:kern w:val="1"/>
      <w:lang w:eastAsia="hi-IN" w:bidi="hi-IN"/>
    </w:rPr>
  </w:style>
  <w:style w:type="paragraph" w:styleId="9">
    <w:name w:val="heading 9"/>
    <w:basedOn w:val="a"/>
    <w:next w:val="a"/>
    <w:link w:val="90"/>
    <w:qFormat/>
    <w:rsid w:val="0099587B"/>
    <w:pPr>
      <w:keepNext/>
      <w:widowControl w:val="0"/>
      <w:suppressAutoHyphens/>
      <w:outlineLvl w:val="8"/>
    </w:pPr>
    <w:rPr>
      <w:rFonts w:ascii="Verdana" w:eastAsia="SimSun" w:hAnsi="Verdana" w:cs="Mangal"/>
      <w:b/>
      <w:bCs/>
      <w:kern w:val="1"/>
      <w:sz w:val="18"/>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uiPriority w:val="99"/>
    <w:rsid w:val="007552F3"/>
    <w:rPr>
      <w:rFonts w:ascii="Times New Roman" w:eastAsia="Calibri" w:hAnsi="Times New Roman" w:cs="Times New Roman"/>
      <w:b/>
      <w:bCs/>
      <w:smallCaps/>
      <w:sz w:val="24"/>
      <w:szCs w:val="24"/>
      <w:lang w:val="en-GB" w:eastAsia="fr-FR"/>
    </w:rPr>
  </w:style>
  <w:style w:type="character" w:customStyle="1" w:styleId="20">
    <w:name w:val="Заглавие 2 Знак"/>
    <w:link w:val="2"/>
    <w:uiPriority w:val="99"/>
    <w:rsid w:val="00570C49"/>
    <w:rPr>
      <w:rFonts w:ascii="Verdana" w:hAnsi="Verdana"/>
      <w:b/>
      <w:bCs/>
      <w:sz w:val="24"/>
      <w:szCs w:val="24"/>
      <w:lang w:val="en-GB"/>
    </w:rPr>
  </w:style>
  <w:style w:type="character" w:customStyle="1" w:styleId="30">
    <w:name w:val="Заглавие 3 Знак"/>
    <w:link w:val="3"/>
    <w:uiPriority w:val="99"/>
    <w:rsid w:val="007552F3"/>
    <w:rPr>
      <w:rFonts w:ascii="Times New Roman" w:hAnsi="Times New Roman"/>
      <w:i/>
      <w:iCs/>
      <w:sz w:val="24"/>
      <w:szCs w:val="24"/>
      <w:lang w:val="en-GB"/>
    </w:rPr>
  </w:style>
  <w:style w:type="character" w:customStyle="1" w:styleId="40">
    <w:name w:val="Заглавие 4 Знак"/>
    <w:link w:val="4"/>
    <w:uiPriority w:val="99"/>
    <w:rsid w:val="007552F3"/>
    <w:rPr>
      <w:rFonts w:ascii="Verdana" w:eastAsia="Calibri" w:hAnsi="Verdana" w:cs="Times New Roman"/>
      <w:b/>
      <w:sz w:val="20"/>
      <w:szCs w:val="20"/>
      <w:lang w:val="en-GB"/>
    </w:rPr>
  </w:style>
  <w:style w:type="character" w:customStyle="1" w:styleId="50">
    <w:name w:val="Заглавие 5 Знак"/>
    <w:link w:val="5"/>
    <w:uiPriority w:val="99"/>
    <w:rsid w:val="007552F3"/>
    <w:rPr>
      <w:rFonts w:ascii="Calibri" w:eastAsia="Calibri" w:hAnsi="Calibri" w:cs="Times New Roman"/>
      <w:i/>
      <w:lang w:val="en-GB"/>
    </w:rPr>
  </w:style>
  <w:style w:type="character" w:customStyle="1" w:styleId="60">
    <w:name w:val="Заглавие 6 Знак"/>
    <w:link w:val="6"/>
    <w:rsid w:val="0099587B"/>
    <w:rPr>
      <w:rFonts w:ascii="Verdana" w:eastAsia="SimSun" w:hAnsi="Verdana" w:cs="Mangal"/>
      <w:b/>
      <w:bCs/>
      <w:kern w:val="1"/>
      <w:sz w:val="24"/>
      <w:szCs w:val="24"/>
      <w:lang w:val="en-GB" w:eastAsia="de-DE" w:bidi="hi-IN"/>
    </w:rPr>
  </w:style>
  <w:style w:type="character" w:customStyle="1" w:styleId="70">
    <w:name w:val="Заглавие 7 Знак"/>
    <w:link w:val="7"/>
    <w:rsid w:val="0099587B"/>
    <w:rPr>
      <w:rFonts w:ascii="Verdana" w:eastAsia="SimSun" w:hAnsi="Verdana" w:cs="Mangal"/>
      <w:b/>
      <w:bCs/>
      <w:kern w:val="1"/>
      <w:sz w:val="24"/>
      <w:szCs w:val="24"/>
      <w:lang w:val="en-GB" w:eastAsia="hi-IN" w:bidi="hi-IN"/>
    </w:rPr>
  </w:style>
  <w:style w:type="character" w:customStyle="1" w:styleId="80">
    <w:name w:val="Заглавие 8 Знак"/>
    <w:link w:val="8"/>
    <w:rsid w:val="0099587B"/>
    <w:rPr>
      <w:rFonts w:ascii="Verdana" w:eastAsia="SimSun" w:hAnsi="Verdana" w:cs="Mangal"/>
      <w:b/>
      <w:bCs/>
      <w:color w:val="000000"/>
      <w:kern w:val="1"/>
      <w:sz w:val="24"/>
      <w:szCs w:val="24"/>
      <w:lang w:val="en-GB" w:eastAsia="hi-IN" w:bidi="hi-IN"/>
    </w:rPr>
  </w:style>
  <w:style w:type="character" w:customStyle="1" w:styleId="90">
    <w:name w:val="Заглавие 9 Знак"/>
    <w:link w:val="9"/>
    <w:rsid w:val="0099587B"/>
    <w:rPr>
      <w:rFonts w:ascii="Verdana" w:eastAsia="SimSun" w:hAnsi="Verdana" w:cs="Mangal"/>
      <w:b/>
      <w:bCs/>
      <w:kern w:val="1"/>
      <w:sz w:val="18"/>
      <w:szCs w:val="24"/>
      <w:lang w:val="en-GB" w:eastAsia="hi-IN" w:bidi="hi-IN"/>
    </w:rPr>
  </w:style>
  <w:style w:type="paragraph" w:customStyle="1" w:styleId="Standard-IfS">
    <w:name w:val="Standard - IfS"/>
    <w:rsid w:val="00592786"/>
    <w:pPr>
      <w:tabs>
        <w:tab w:val="left" w:pos="227"/>
        <w:tab w:val="left" w:pos="357"/>
        <w:tab w:val="left" w:pos="454"/>
        <w:tab w:val="left" w:pos="709"/>
        <w:tab w:val="left" w:pos="851"/>
        <w:tab w:val="left" w:pos="992"/>
      </w:tabs>
      <w:spacing w:after="312" w:line="312" w:lineRule="auto"/>
      <w:jc w:val="both"/>
    </w:pPr>
    <w:rPr>
      <w:rFonts w:ascii="Arial" w:eastAsia="Times New Roman" w:hAnsi="Arial" w:cs="Arial"/>
      <w:sz w:val="22"/>
      <w:szCs w:val="22"/>
      <w:lang w:val="de-DE" w:eastAsia="en-US"/>
    </w:rPr>
  </w:style>
  <w:style w:type="paragraph" w:styleId="31">
    <w:name w:val="Body Text Indent 3"/>
    <w:basedOn w:val="a"/>
    <w:link w:val="32"/>
    <w:rsid w:val="00592786"/>
    <w:pPr>
      <w:ind w:left="708"/>
      <w:jc w:val="center"/>
    </w:pPr>
    <w:rPr>
      <w:b/>
      <w:bCs/>
      <w:sz w:val="44"/>
      <w:szCs w:val="44"/>
    </w:rPr>
  </w:style>
  <w:style w:type="character" w:customStyle="1" w:styleId="32">
    <w:name w:val="Основен текст с отстъп 3 Знак"/>
    <w:link w:val="31"/>
    <w:rsid w:val="00592786"/>
    <w:rPr>
      <w:rFonts w:ascii="Times New Roman" w:eastAsia="Times New Roman" w:hAnsi="Times New Roman" w:cs="Times New Roman"/>
      <w:b/>
      <w:bCs/>
      <w:sz w:val="44"/>
      <w:szCs w:val="44"/>
      <w:lang w:val="en-GB" w:eastAsia="fr-FR"/>
    </w:rPr>
  </w:style>
  <w:style w:type="paragraph" w:styleId="a3">
    <w:name w:val="Balloon Text"/>
    <w:basedOn w:val="a"/>
    <w:link w:val="a4"/>
    <w:uiPriority w:val="99"/>
    <w:semiHidden/>
    <w:unhideWhenUsed/>
    <w:rsid w:val="00592786"/>
    <w:rPr>
      <w:rFonts w:ascii="Tahoma" w:hAnsi="Tahoma"/>
      <w:sz w:val="16"/>
      <w:szCs w:val="16"/>
    </w:rPr>
  </w:style>
  <w:style w:type="character" w:customStyle="1" w:styleId="a4">
    <w:name w:val="Изнесен текст Знак"/>
    <w:link w:val="a3"/>
    <w:uiPriority w:val="99"/>
    <w:semiHidden/>
    <w:rsid w:val="00592786"/>
    <w:rPr>
      <w:rFonts w:ascii="Tahoma" w:eastAsia="Times New Roman" w:hAnsi="Tahoma" w:cs="Tahoma"/>
      <w:sz w:val="16"/>
      <w:szCs w:val="16"/>
      <w:lang w:eastAsia="fr-FR"/>
    </w:rPr>
  </w:style>
  <w:style w:type="paragraph" w:customStyle="1" w:styleId="Paragraphedeliste3">
    <w:name w:val="Paragraphe de liste3"/>
    <w:basedOn w:val="a"/>
    <w:uiPriority w:val="34"/>
    <w:qFormat/>
    <w:rsid w:val="007552F3"/>
    <w:pPr>
      <w:spacing w:after="200" w:line="276" w:lineRule="auto"/>
      <w:ind w:left="720"/>
      <w:contextualSpacing/>
    </w:pPr>
    <w:rPr>
      <w:rFonts w:ascii="Calibri" w:eastAsia="Calibri" w:hAnsi="Calibri"/>
      <w:sz w:val="22"/>
      <w:szCs w:val="22"/>
      <w:lang w:eastAsia="en-US"/>
    </w:rPr>
  </w:style>
  <w:style w:type="paragraph" w:customStyle="1" w:styleId="U2Title1">
    <w:name w:val="U2 Title 1"/>
    <w:basedOn w:val="a"/>
    <w:uiPriority w:val="99"/>
    <w:rsid w:val="007552F3"/>
    <w:pPr>
      <w:pBdr>
        <w:bottom w:val="single" w:sz="6" w:space="1" w:color="auto"/>
      </w:pBdr>
      <w:spacing w:before="60"/>
      <w:jc w:val="both"/>
    </w:pPr>
    <w:rPr>
      <w:rFonts w:ascii="Verdana" w:eastAsia="Calibri" w:hAnsi="Verdana"/>
      <w:b/>
      <w:bCs/>
      <w:smallCaps/>
      <w:sz w:val="32"/>
      <w:szCs w:val="32"/>
    </w:rPr>
  </w:style>
  <w:style w:type="character" w:styleId="a5">
    <w:name w:val="footnote reference"/>
    <w:aliases w:val="stylish,ESPON Footnote No"/>
    <w:rsid w:val="007552F3"/>
    <w:rPr>
      <w:rFonts w:cs="Times New Roman"/>
      <w:vertAlign w:val="superscript"/>
    </w:rPr>
  </w:style>
  <w:style w:type="paragraph" w:styleId="a6">
    <w:name w:val="Normal (Web)"/>
    <w:basedOn w:val="a"/>
    <w:uiPriority w:val="99"/>
    <w:rsid w:val="007552F3"/>
    <w:pPr>
      <w:spacing w:before="100" w:beforeAutospacing="1" w:after="100" w:afterAutospacing="1"/>
    </w:pPr>
    <w:rPr>
      <w:rFonts w:ascii="Arial Unicode MS" w:eastAsia="Arial Unicode MS" w:hAnsi="Arial Unicode MS"/>
    </w:rPr>
  </w:style>
  <w:style w:type="paragraph" w:styleId="a7">
    <w:name w:val="footnote text"/>
    <w:aliases w:val="ESPON Footnote Text"/>
    <w:basedOn w:val="a"/>
    <w:link w:val="a8"/>
    <w:rsid w:val="007552F3"/>
    <w:pPr>
      <w:jc w:val="both"/>
    </w:pPr>
    <w:rPr>
      <w:rFonts w:ascii="Calibri" w:eastAsia="Calibri" w:hAnsi="Calibri"/>
      <w:sz w:val="20"/>
      <w:szCs w:val="20"/>
      <w:lang w:eastAsia="zh-CN"/>
    </w:rPr>
  </w:style>
  <w:style w:type="character" w:customStyle="1" w:styleId="a8">
    <w:name w:val="Текст под линия Знак"/>
    <w:aliases w:val="ESPON Footnote Text Знак"/>
    <w:link w:val="a7"/>
    <w:uiPriority w:val="99"/>
    <w:rsid w:val="007552F3"/>
    <w:rPr>
      <w:rFonts w:ascii="Calibri" w:eastAsia="Calibri" w:hAnsi="Calibri" w:cs="Times New Roman"/>
      <w:sz w:val="20"/>
      <w:szCs w:val="20"/>
      <w:lang w:val="en-GB" w:eastAsia="zh-CN"/>
    </w:rPr>
  </w:style>
  <w:style w:type="character" w:customStyle="1" w:styleId="FootnoteTextChar">
    <w:name w:val="Footnote Text Char"/>
    <w:aliases w:val="ESPON Footnote Text Char"/>
    <w:uiPriority w:val="99"/>
    <w:semiHidden/>
    <w:locked/>
    <w:rsid w:val="007552F3"/>
    <w:rPr>
      <w:rFonts w:cs="Times New Roman"/>
      <w:sz w:val="20"/>
      <w:szCs w:val="20"/>
      <w:lang w:val="en-GB" w:eastAsia="en-US"/>
    </w:rPr>
  </w:style>
  <w:style w:type="paragraph" w:customStyle="1" w:styleId="StyleHeading1Hanging085cm">
    <w:name w:val="Style Heading 1 + Hanging:  0.85 cm"/>
    <w:basedOn w:val="1"/>
    <w:autoRedefine/>
    <w:uiPriority w:val="99"/>
    <w:rsid w:val="00A40420"/>
    <w:pPr>
      <w:tabs>
        <w:tab w:val="clear" w:pos="360"/>
        <w:tab w:val="left" w:pos="1560"/>
      </w:tabs>
      <w:spacing w:before="360" w:after="0"/>
      <w:ind w:left="0" w:firstLine="0"/>
    </w:pPr>
    <w:rPr>
      <w:rFonts w:ascii="Verdana" w:hAnsi="Verdana"/>
      <w:bCs w:val="0"/>
      <w:sz w:val="28"/>
      <w:szCs w:val="28"/>
      <w:lang w:eastAsia="en-US"/>
    </w:rPr>
  </w:style>
  <w:style w:type="paragraph" w:customStyle="1" w:styleId="Paragraphedeliste1">
    <w:name w:val="Paragraphe de liste1"/>
    <w:basedOn w:val="a"/>
    <w:uiPriority w:val="99"/>
    <w:qFormat/>
    <w:rsid w:val="007552F3"/>
    <w:pPr>
      <w:spacing w:after="240"/>
      <w:ind w:left="720"/>
      <w:jc w:val="both"/>
    </w:pPr>
    <w:rPr>
      <w:rFonts w:eastAsia="Calibri"/>
      <w:szCs w:val="20"/>
      <w:lang w:eastAsia="en-US"/>
    </w:rPr>
  </w:style>
  <w:style w:type="character" w:styleId="a9">
    <w:name w:val="Strong"/>
    <w:aliases w:val="5C OP Heading 3"/>
    <w:uiPriority w:val="99"/>
    <w:qFormat/>
    <w:rsid w:val="007552F3"/>
    <w:rPr>
      <w:rFonts w:ascii="Arial" w:hAnsi="Arial" w:cs="Times New Roman"/>
      <w:color w:val="auto"/>
      <w:sz w:val="24"/>
      <w:lang w:val="en-GB" w:eastAsia="ar-SA" w:bidi="ar-SA"/>
    </w:rPr>
  </w:style>
  <w:style w:type="character" w:customStyle="1" w:styleId="TableauGrille1Clair1">
    <w:name w:val="Tableau Grille 1 Clair1"/>
    <w:aliases w:val="5C OP Heading 4"/>
    <w:uiPriority w:val="99"/>
    <w:rsid w:val="007552F3"/>
    <w:rPr>
      <w:rFonts w:ascii="Arial" w:hAnsi="Arial"/>
      <w:b/>
      <w:color w:val="auto"/>
      <w:sz w:val="28"/>
      <w:lang w:eastAsia="ar-SA" w:bidi="ar-SA"/>
    </w:rPr>
  </w:style>
  <w:style w:type="character" w:customStyle="1" w:styleId="Rfrenceintense1">
    <w:name w:val="Référence intense1"/>
    <w:uiPriority w:val="99"/>
    <w:rsid w:val="007552F3"/>
    <w:rPr>
      <w:rFonts w:ascii="Verdana" w:hAnsi="Verdana"/>
      <w:b/>
      <w:color w:val="000000"/>
    </w:rPr>
  </w:style>
  <w:style w:type="paragraph" w:customStyle="1" w:styleId="Text1">
    <w:name w:val="Text 1"/>
    <w:basedOn w:val="a"/>
    <w:link w:val="Text1Char"/>
    <w:rsid w:val="007552F3"/>
    <w:pPr>
      <w:tabs>
        <w:tab w:val="left" w:pos="2160"/>
      </w:tabs>
      <w:spacing w:after="240"/>
      <w:ind w:left="1440"/>
      <w:jc w:val="both"/>
    </w:pPr>
    <w:rPr>
      <w:rFonts w:ascii="Calibri" w:eastAsia="Calibri" w:hAnsi="Calibri"/>
      <w:szCs w:val="20"/>
    </w:rPr>
  </w:style>
  <w:style w:type="character" w:customStyle="1" w:styleId="Text1Char">
    <w:name w:val="Text 1 Char"/>
    <w:link w:val="Text1"/>
    <w:uiPriority w:val="99"/>
    <w:locked/>
    <w:rsid w:val="007552F3"/>
    <w:rPr>
      <w:rFonts w:ascii="Calibri" w:eastAsia="Calibri" w:hAnsi="Calibri" w:cs="Times New Roman"/>
      <w:sz w:val="24"/>
      <w:szCs w:val="20"/>
      <w:lang w:val="en-GB"/>
    </w:rPr>
  </w:style>
  <w:style w:type="paragraph" w:customStyle="1" w:styleId="ListBullet1">
    <w:name w:val="List Bullet 1"/>
    <w:basedOn w:val="Text1"/>
    <w:uiPriority w:val="99"/>
    <w:rsid w:val="007552F3"/>
    <w:pPr>
      <w:tabs>
        <w:tab w:val="clear" w:pos="2160"/>
        <w:tab w:val="num" w:pos="360"/>
      </w:tabs>
    </w:pPr>
    <w:rPr>
      <w:rFonts w:ascii="Times New Roman" w:hAnsi="Times New Roman"/>
      <w:szCs w:val="24"/>
      <w:lang w:val="fr-FR"/>
    </w:rPr>
  </w:style>
  <w:style w:type="paragraph" w:customStyle="1" w:styleId="Text3">
    <w:name w:val="Text 3"/>
    <w:basedOn w:val="a"/>
    <w:uiPriority w:val="99"/>
    <w:rsid w:val="007552F3"/>
    <w:pPr>
      <w:tabs>
        <w:tab w:val="left" w:pos="2302"/>
      </w:tabs>
      <w:spacing w:after="240"/>
      <w:ind w:left="1916"/>
      <w:jc w:val="both"/>
    </w:pPr>
    <w:rPr>
      <w:rFonts w:eastAsia="Calibri"/>
      <w:szCs w:val="20"/>
      <w:lang w:eastAsia="en-US"/>
    </w:rPr>
  </w:style>
  <w:style w:type="paragraph" w:styleId="aa">
    <w:name w:val="caption"/>
    <w:basedOn w:val="a"/>
    <w:next w:val="a"/>
    <w:uiPriority w:val="99"/>
    <w:qFormat/>
    <w:rsid w:val="007552F3"/>
    <w:pPr>
      <w:spacing w:after="200" w:line="276" w:lineRule="auto"/>
    </w:pPr>
    <w:rPr>
      <w:rFonts w:ascii="Calibri" w:eastAsia="Calibri" w:hAnsi="Calibri"/>
      <w:b/>
      <w:bCs/>
      <w:sz w:val="20"/>
      <w:szCs w:val="20"/>
      <w:lang w:eastAsia="en-US"/>
    </w:rPr>
  </w:style>
  <w:style w:type="character" w:customStyle="1" w:styleId="ab">
    <w:name w:val="Текст на бележка в края Знак"/>
    <w:link w:val="ac"/>
    <w:uiPriority w:val="99"/>
    <w:semiHidden/>
    <w:rsid w:val="007552F3"/>
    <w:rPr>
      <w:rFonts w:ascii="Calibri" w:eastAsia="Calibri" w:hAnsi="Calibri" w:cs="Times New Roman"/>
      <w:sz w:val="20"/>
      <w:szCs w:val="20"/>
      <w:lang w:val="en-GB"/>
    </w:rPr>
  </w:style>
  <w:style w:type="paragraph" w:styleId="ac">
    <w:name w:val="endnote text"/>
    <w:basedOn w:val="a"/>
    <w:link w:val="ab"/>
    <w:uiPriority w:val="99"/>
    <w:semiHidden/>
    <w:rsid w:val="007552F3"/>
    <w:pPr>
      <w:spacing w:after="200" w:line="276" w:lineRule="auto"/>
    </w:pPr>
    <w:rPr>
      <w:rFonts w:ascii="Calibri" w:eastAsia="Calibri" w:hAnsi="Calibri"/>
      <w:sz w:val="20"/>
      <w:szCs w:val="20"/>
    </w:rPr>
  </w:style>
  <w:style w:type="paragraph" w:customStyle="1" w:styleId="Paragraphedeliste2">
    <w:name w:val="Paragraphe de liste2"/>
    <w:basedOn w:val="a"/>
    <w:qFormat/>
    <w:rsid w:val="007552F3"/>
    <w:pPr>
      <w:spacing w:after="200" w:line="276" w:lineRule="auto"/>
      <w:ind w:left="720"/>
      <w:contextualSpacing/>
      <w:jc w:val="both"/>
    </w:pPr>
    <w:rPr>
      <w:rFonts w:ascii="Calibri" w:hAnsi="Calibri"/>
      <w:color w:val="000000"/>
      <w:sz w:val="22"/>
      <w:szCs w:val="22"/>
      <w:lang w:eastAsia="en-US"/>
    </w:rPr>
  </w:style>
  <w:style w:type="paragraph" w:styleId="ad">
    <w:name w:val="annotation text"/>
    <w:basedOn w:val="a"/>
    <w:link w:val="ae"/>
    <w:uiPriority w:val="99"/>
    <w:unhideWhenUsed/>
    <w:rsid w:val="007552F3"/>
    <w:pPr>
      <w:spacing w:after="200"/>
    </w:pPr>
    <w:rPr>
      <w:rFonts w:ascii="Calibri" w:eastAsia="Calibri" w:hAnsi="Calibri"/>
      <w:sz w:val="20"/>
      <w:szCs w:val="20"/>
    </w:rPr>
  </w:style>
  <w:style w:type="character" w:customStyle="1" w:styleId="ae">
    <w:name w:val="Текст на коментар Знак"/>
    <w:link w:val="ad"/>
    <w:uiPriority w:val="99"/>
    <w:rsid w:val="007552F3"/>
    <w:rPr>
      <w:rFonts w:ascii="Calibri" w:eastAsia="Calibri" w:hAnsi="Calibri" w:cs="Times New Roman"/>
      <w:sz w:val="20"/>
      <w:szCs w:val="20"/>
      <w:lang w:val="en-GB"/>
    </w:rPr>
  </w:style>
  <w:style w:type="character" w:customStyle="1" w:styleId="af">
    <w:name w:val="Предмет на коментар Знак"/>
    <w:link w:val="af0"/>
    <w:uiPriority w:val="99"/>
    <w:semiHidden/>
    <w:rsid w:val="007552F3"/>
    <w:rPr>
      <w:rFonts w:ascii="Calibri" w:eastAsia="Calibri" w:hAnsi="Calibri" w:cs="Times New Roman"/>
      <w:b/>
      <w:bCs/>
      <w:sz w:val="20"/>
      <w:szCs w:val="20"/>
      <w:lang w:val="en-GB"/>
    </w:rPr>
  </w:style>
  <w:style w:type="paragraph" w:styleId="af0">
    <w:name w:val="annotation subject"/>
    <w:basedOn w:val="ad"/>
    <w:next w:val="ad"/>
    <w:link w:val="af"/>
    <w:uiPriority w:val="99"/>
    <w:semiHidden/>
    <w:unhideWhenUsed/>
    <w:rsid w:val="007552F3"/>
    <w:rPr>
      <w:b/>
      <w:bCs/>
    </w:rPr>
  </w:style>
  <w:style w:type="paragraph" w:styleId="af1">
    <w:name w:val="header"/>
    <w:basedOn w:val="a"/>
    <w:link w:val="af2"/>
    <w:uiPriority w:val="99"/>
    <w:rsid w:val="007552F3"/>
    <w:pPr>
      <w:tabs>
        <w:tab w:val="center" w:pos="4536"/>
        <w:tab w:val="right" w:pos="9072"/>
      </w:tabs>
      <w:spacing w:line="260" w:lineRule="atLeast"/>
    </w:pPr>
    <w:rPr>
      <w:rFonts w:ascii="Arial" w:hAnsi="Arial"/>
      <w:sz w:val="20"/>
    </w:rPr>
  </w:style>
  <w:style w:type="character" w:customStyle="1" w:styleId="af2">
    <w:name w:val="Горен колонтитул Знак"/>
    <w:link w:val="af1"/>
    <w:uiPriority w:val="99"/>
    <w:rsid w:val="007552F3"/>
    <w:rPr>
      <w:rFonts w:ascii="Arial" w:eastAsia="Times New Roman" w:hAnsi="Arial" w:cs="Times New Roman"/>
      <w:sz w:val="20"/>
      <w:szCs w:val="24"/>
      <w:lang w:val="en-GB"/>
    </w:rPr>
  </w:style>
  <w:style w:type="paragraph" w:styleId="af3">
    <w:name w:val="footer"/>
    <w:basedOn w:val="a"/>
    <w:link w:val="af4"/>
    <w:uiPriority w:val="99"/>
    <w:rsid w:val="007552F3"/>
    <w:pPr>
      <w:tabs>
        <w:tab w:val="center" w:pos="4536"/>
        <w:tab w:val="right" w:pos="9072"/>
      </w:tabs>
      <w:spacing w:line="260" w:lineRule="atLeast"/>
    </w:pPr>
    <w:rPr>
      <w:rFonts w:ascii="Arial" w:hAnsi="Arial"/>
      <w:sz w:val="20"/>
    </w:rPr>
  </w:style>
  <w:style w:type="character" w:customStyle="1" w:styleId="af4">
    <w:name w:val="Долен колонтитул Знак"/>
    <w:link w:val="af3"/>
    <w:uiPriority w:val="99"/>
    <w:rsid w:val="007552F3"/>
    <w:rPr>
      <w:rFonts w:ascii="Arial" w:eastAsia="Times New Roman" w:hAnsi="Arial" w:cs="Times New Roman"/>
      <w:sz w:val="20"/>
      <w:szCs w:val="24"/>
      <w:lang w:val="en-GB"/>
    </w:rPr>
  </w:style>
  <w:style w:type="character" w:customStyle="1" w:styleId="hps">
    <w:name w:val="hps"/>
    <w:basedOn w:val="a0"/>
    <w:rsid w:val="007552F3"/>
  </w:style>
  <w:style w:type="character" w:styleId="af5">
    <w:name w:val="Hyperlink"/>
    <w:uiPriority w:val="99"/>
    <w:unhideWhenUsed/>
    <w:rsid w:val="007552F3"/>
    <w:rPr>
      <w:color w:val="0000FF"/>
      <w:u w:val="single"/>
    </w:rPr>
  </w:style>
  <w:style w:type="table" w:styleId="af6">
    <w:name w:val="Table Grid"/>
    <w:basedOn w:val="a1"/>
    <w:uiPriority w:val="59"/>
    <w:rsid w:val="007552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
    <w:name w:val="titre"/>
    <w:basedOn w:val="a"/>
    <w:autoRedefine/>
    <w:rsid w:val="0099587B"/>
    <w:pPr>
      <w:widowControl w:val="0"/>
      <w:suppressAutoHyphens/>
    </w:pPr>
    <w:rPr>
      <w:rFonts w:ascii="Brocoli" w:eastAsia="SimSun" w:hAnsi="Brocoli" w:cs="Mangal"/>
      <w:color w:val="FF0000"/>
      <w:kern w:val="1"/>
      <w:sz w:val="32"/>
      <w:lang w:val="ru-RU" w:eastAsia="hi-IN" w:bidi="hi-IN"/>
    </w:rPr>
  </w:style>
  <w:style w:type="paragraph" w:customStyle="1" w:styleId="blocadresseletterhead">
    <w:name w:val="bloc adresse letterhead"/>
    <w:basedOn w:val="a"/>
    <w:rsid w:val="0099587B"/>
    <w:pPr>
      <w:widowControl w:val="0"/>
      <w:tabs>
        <w:tab w:val="left" w:pos="1520"/>
      </w:tabs>
      <w:suppressAutoHyphens/>
      <w:autoSpaceDE w:val="0"/>
      <w:autoSpaceDN w:val="0"/>
      <w:adjustRightInd w:val="0"/>
      <w:spacing w:after="28" w:line="200" w:lineRule="atLeast"/>
      <w:textAlignment w:val="center"/>
    </w:pPr>
    <w:rPr>
      <w:rFonts w:ascii="HelveticaNeue-Roman" w:eastAsia="SimSun" w:hAnsi="HelveticaNeue-Roman" w:cs="Mangal"/>
      <w:color w:val="00009E"/>
      <w:spacing w:val="1"/>
      <w:kern w:val="1"/>
      <w:sz w:val="12"/>
      <w:szCs w:val="12"/>
      <w:lang w:eastAsia="hi-IN" w:bidi="hi-IN"/>
    </w:rPr>
  </w:style>
  <w:style w:type="character" w:customStyle="1" w:styleId="gras">
    <w:name w:val="gras"/>
    <w:rsid w:val="0099587B"/>
    <w:rPr>
      <w:b/>
      <w:color w:val="00009E"/>
    </w:rPr>
  </w:style>
  <w:style w:type="paragraph" w:customStyle="1" w:styleId="--">
    <w:name w:val="--"/>
    <w:basedOn w:val="a"/>
    <w:rsid w:val="0099587B"/>
    <w:pPr>
      <w:widowControl w:val="0"/>
      <w:numPr>
        <w:numId w:val="6"/>
      </w:numPr>
      <w:suppressAutoHyphens/>
      <w:spacing w:before="80" w:after="80"/>
    </w:pPr>
    <w:rPr>
      <w:rFonts w:ascii="Verdana" w:eastAsia="Batang" w:hAnsi="Verdana" w:cs="Mangal"/>
      <w:kern w:val="1"/>
      <w:sz w:val="16"/>
      <w:lang w:eastAsia="de-DE" w:bidi="hi-IN"/>
    </w:rPr>
  </w:style>
  <w:style w:type="paragraph" w:styleId="33">
    <w:name w:val="Body Text 3"/>
    <w:basedOn w:val="a"/>
    <w:link w:val="34"/>
    <w:rsid w:val="0099587B"/>
    <w:pPr>
      <w:widowControl w:val="0"/>
      <w:suppressAutoHyphens/>
      <w:jc w:val="center"/>
    </w:pPr>
    <w:rPr>
      <w:rFonts w:ascii="Verdana" w:eastAsia="SimSun" w:hAnsi="Verdana" w:cs="Mangal"/>
      <w:kern w:val="1"/>
      <w:lang w:eastAsia="hi-IN" w:bidi="hi-IN"/>
    </w:rPr>
  </w:style>
  <w:style w:type="character" w:customStyle="1" w:styleId="34">
    <w:name w:val="Основен текст 3 Знак"/>
    <w:link w:val="33"/>
    <w:rsid w:val="0099587B"/>
    <w:rPr>
      <w:rFonts w:ascii="Verdana" w:eastAsia="SimSun" w:hAnsi="Verdana" w:cs="Mangal"/>
      <w:kern w:val="1"/>
      <w:sz w:val="24"/>
      <w:szCs w:val="24"/>
      <w:lang w:val="en-GB" w:eastAsia="hi-IN" w:bidi="hi-IN"/>
    </w:rPr>
  </w:style>
  <w:style w:type="character" w:styleId="af7">
    <w:name w:val="page number"/>
    <w:basedOn w:val="a0"/>
    <w:rsid w:val="0099587B"/>
  </w:style>
  <w:style w:type="paragraph" w:styleId="af8">
    <w:name w:val="Body Text"/>
    <w:basedOn w:val="a"/>
    <w:link w:val="af9"/>
    <w:rsid w:val="0099587B"/>
    <w:pPr>
      <w:widowControl w:val="0"/>
      <w:suppressAutoHyphens/>
      <w:spacing w:after="120"/>
    </w:pPr>
    <w:rPr>
      <w:rFonts w:eastAsia="SimSun" w:cs="Mangal"/>
      <w:kern w:val="1"/>
      <w:lang w:eastAsia="hi-IN" w:bidi="hi-IN"/>
    </w:rPr>
  </w:style>
  <w:style w:type="character" w:customStyle="1" w:styleId="af9">
    <w:name w:val="Основен текст Знак"/>
    <w:link w:val="af8"/>
    <w:rsid w:val="0099587B"/>
    <w:rPr>
      <w:rFonts w:ascii="Times New Roman" w:eastAsia="SimSun" w:hAnsi="Times New Roman" w:cs="Mangal"/>
      <w:kern w:val="1"/>
      <w:sz w:val="24"/>
      <w:szCs w:val="24"/>
      <w:lang w:val="en-GB" w:eastAsia="hi-IN" w:bidi="hi-IN"/>
    </w:rPr>
  </w:style>
  <w:style w:type="paragraph" w:customStyle="1" w:styleId="Default">
    <w:name w:val="Default"/>
    <w:uiPriority w:val="99"/>
    <w:rsid w:val="0099587B"/>
    <w:pPr>
      <w:autoSpaceDE w:val="0"/>
      <w:autoSpaceDN w:val="0"/>
      <w:adjustRightInd w:val="0"/>
    </w:pPr>
    <w:rPr>
      <w:rFonts w:ascii="Times New Roman" w:hAnsi="Times New Roman"/>
      <w:color w:val="000000"/>
      <w:sz w:val="24"/>
      <w:szCs w:val="24"/>
      <w:lang w:eastAsia="en-US"/>
    </w:rPr>
  </w:style>
  <w:style w:type="character" w:customStyle="1" w:styleId="ss-text-answer-container">
    <w:name w:val="ss-text-answer-container"/>
    <w:basedOn w:val="a0"/>
    <w:rsid w:val="0099587B"/>
  </w:style>
  <w:style w:type="character" w:styleId="afa">
    <w:name w:val="annotation reference"/>
    <w:uiPriority w:val="99"/>
    <w:unhideWhenUsed/>
    <w:rsid w:val="0099587B"/>
    <w:rPr>
      <w:sz w:val="16"/>
      <w:szCs w:val="16"/>
    </w:rPr>
  </w:style>
  <w:style w:type="paragraph" w:customStyle="1" w:styleId="CM1">
    <w:name w:val="CM1"/>
    <w:basedOn w:val="Default"/>
    <w:next w:val="Default"/>
    <w:uiPriority w:val="99"/>
    <w:rsid w:val="0099587B"/>
    <w:rPr>
      <w:rFonts w:ascii="EUAlbertina" w:eastAsia="Times New Roman" w:hAnsi="EUAlbertina"/>
      <w:color w:val="auto"/>
      <w:lang w:eastAsia="en-GB"/>
    </w:rPr>
  </w:style>
  <w:style w:type="paragraph" w:customStyle="1" w:styleId="CM3">
    <w:name w:val="CM3"/>
    <w:basedOn w:val="Default"/>
    <w:next w:val="Default"/>
    <w:uiPriority w:val="99"/>
    <w:rsid w:val="0099587B"/>
    <w:rPr>
      <w:rFonts w:ascii="EUAlbertina" w:eastAsia="Times New Roman" w:hAnsi="EUAlbertina"/>
      <w:color w:val="auto"/>
      <w:lang w:eastAsia="en-GB"/>
    </w:rPr>
  </w:style>
  <w:style w:type="paragraph" w:customStyle="1" w:styleId="CM4">
    <w:name w:val="CM4"/>
    <w:basedOn w:val="Default"/>
    <w:next w:val="Default"/>
    <w:uiPriority w:val="99"/>
    <w:rsid w:val="0099587B"/>
    <w:rPr>
      <w:rFonts w:ascii="EUAlbertina" w:eastAsia="Times New Roman" w:hAnsi="EUAlbertina"/>
      <w:color w:val="auto"/>
      <w:lang w:eastAsia="en-GB"/>
    </w:rPr>
  </w:style>
  <w:style w:type="character" w:customStyle="1" w:styleId="stylecourrierlectronique18">
    <w:name w:val="stylecourrierlectronique18"/>
    <w:rsid w:val="00AC759C"/>
    <w:rPr>
      <w:rFonts w:ascii="Arial" w:hAnsi="Arial" w:cs="Arial"/>
      <w:color w:val="000000"/>
      <w:sz w:val="20"/>
      <w:szCs w:val="20"/>
    </w:rPr>
  </w:style>
  <w:style w:type="paragraph" w:styleId="11">
    <w:name w:val="toc 1"/>
    <w:basedOn w:val="a"/>
    <w:next w:val="a"/>
    <w:autoRedefine/>
    <w:uiPriority w:val="39"/>
    <w:rsid w:val="00040577"/>
    <w:pPr>
      <w:tabs>
        <w:tab w:val="left" w:pos="1760"/>
        <w:tab w:val="right" w:leader="dot" w:pos="9781"/>
      </w:tabs>
      <w:spacing w:before="240" w:after="120"/>
    </w:pPr>
    <w:rPr>
      <w:rFonts w:ascii="Verdana" w:hAnsi="Verdana"/>
      <w:b/>
      <w:bCs/>
      <w:noProof/>
    </w:rPr>
  </w:style>
  <w:style w:type="paragraph" w:styleId="21">
    <w:name w:val="toc 2"/>
    <w:basedOn w:val="a"/>
    <w:next w:val="a"/>
    <w:autoRedefine/>
    <w:uiPriority w:val="39"/>
    <w:rsid w:val="00EA4B30"/>
    <w:pPr>
      <w:tabs>
        <w:tab w:val="left" w:pos="1540"/>
        <w:tab w:val="right" w:leader="dot" w:pos="9639"/>
      </w:tabs>
      <w:ind w:left="709" w:right="57"/>
    </w:pPr>
    <w:rPr>
      <w:rFonts w:ascii="Verdana" w:hAnsi="Verdana"/>
      <w:lang w:eastAsia="de-DE"/>
    </w:rPr>
  </w:style>
  <w:style w:type="paragraph" w:styleId="35">
    <w:name w:val="toc 3"/>
    <w:basedOn w:val="a"/>
    <w:next w:val="a"/>
    <w:autoRedefine/>
    <w:uiPriority w:val="39"/>
    <w:rsid w:val="00AC759C"/>
    <w:pPr>
      <w:ind w:left="480"/>
    </w:pPr>
    <w:rPr>
      <w:rFonts w:ascii="Verdana" w:hAnsi="Verdana"/>
      <w:sz w:val="22"/>
      <w:szCs w:val="22"/>
    </w:rPr>
  </w:style>
  <w:style w:type="paragraph" w:customStyle="1" w:styleId="Style1">
    <w:name w:val="Style1"/>
    <w:basedOn w:val="a"/>
    <w:uiPriority w:val="99"/>
    <w:rsid w:val="00A720B1"/>
    <w:pPr>
      <w:spacing w:after="240"/>
    </w:pPr>
    <w:rPr>
      <w:szCs w:val="20"/>
      <w:lang w:eastAsia="ko-KR"/>
    </w:rPr>
  </w:style>
  <w:style w:type="paragraph" w:styleId="afb">
    <w:name w:val="Body Text Indent"/>
    <w:basedOn w:val="a"/>
    <w:link w:val="afc"/>
    <w:uiPriority w:val="99"/>
    <w:unhideWhenUsed/>
    <w:rsid w:val="00A720B1"/>
    <w:pPr>
      <w:spacing w:after="120"/>
      <w:ind w:left="283"/>
    </w:pPr>
  </w:style>
  <w:style w:type="character" w:customStyle="1" w:styleId="afc">
    <w:name w:val="Основен текст с отстъп Знак"/>
    <w:link w:val="afb"/>
    <w:uiPriority w:val="99"/>
    <w:rsid w:val="00A720B1"/>
    <w:rPr>
      <w:rFonts w:ascii="Times New Roman" w:eastAsia="Times New Roman" w:hAnsi="Times New Roman" w:cs="Times New Roman"/>
      <w:sz w:val="24"/>
      <w:szCs w:val="24"/>
      <w:lang w:eastAsia="fr-FR"/>
    </w:rPr>
  </w:style>
  <w:style w:type="paragraph" w:styleId="22">
    <w:name w:val="Body Text Indent 2"/>
    <w:basedOn w:val="a"/>
    <w:link w:val="23"/>
    <w:uiPriority w:val="99"/>
    <w:semiHidden/>
    <w:unhideWhenUsed/>
    <w:rsid w:val="00A720B1"/>
    <w:pPr>
      <w:spacing w:after="120" w:line="480" w:lineRule="auto"/>
      <w:ind w:left="283"/>
    </w:pPr>
  </w:style>
  <w:style w:type="character" w:customStyle="1" w:styleId="23">
    <w:name w:val="Основен текст с отстъп 2 Знак"/>
    <w:link w:val="22"/>
    <w:uiPriority w:val="99"/>
    <w:semiHidden/>
    <w:rsid w:val="00A720B1"/>
    <w:rPr>
      <w:rFonts w:ascii="Times New Roman" w:eastAsia="Times New Roman" w:hAnsi="Times New Roman" w:cs="Times New Roman"/>
      <w:sz w:val="24"/>
      <w:szCs w:val="24"/>
      <w:lang w:eastAsia="fr-FR"/>
    </w:rPr>
  </w:style>
  <w:style w:type="paragraph" w:customStyle="1" w:styleId="En-ttedetabledesmatires1">
    <w:name w:val="En-tête de table des matières1"/>
    <w:basedOn w:val="1"/>
    <w:next w:val="a"/>
    <w:uiPriority w:val="39"/>
    <w:semiHidden/>
    <w:unhideWhenUsed/>
    <w:qFormat/>
    <w:rsid w:val="00A532C7"/>
    <w:pPr>
      <w:keepLines/>
      <w:tabs>
        <w:tab w:val="clear" w:pos="360"/>
      </w:tabs>
      <w:spacing w:before="480" w:after="0" w:line="276" w:lineRule="auto"/>
      <w:ind w:left="0" w:firstLine="0"/>
      <w:jc w:val="left"/>
      <w:outlineLvl w:val="9"/>
    </w:pPr>
    <w:rPr>
      <w:rFonts w:ascii="Cambria" w:eastAsia="Times New Roman" w:hAnsi="Cambria"/>
      <w:smallCaps w:val="0"/>
      <w:color w:val="365F91"/>
      <w:sz w:val="28"/>
      <w:szCs w:val="28"/>
      <w:lang w:val="fr-FR" w:eastAsia="en-US"/>
    </w:rPr>
  </w:style>
  <w:style w:type="paragraph" w:customStyle="1" w:styleId="bodytext">
    <w:name w:val="bodytext"/>
    <w:basedOn w:val="a"/>
    <w:rsid w:val="009210ED"/>
    <w:pPr>
      <w:spacing w:before="100" w:beforeAutospacing="1" w:after="100" w:afterAutospacing="1"/>
    </w:pPr>
    <w:rPr>
      <w:lang w:eastAsia="en-GB"/>
    </w:rPr>
  </w:style>
  <w:style w:type="paragraph" w:styleId="afd">
    <w:name w:val="List Paragraph"/>
    <w:basedOn w:val="a"/>
    <w:uiPriority w:val="34"/>
    <w:qFormat/>
    <w:rsid w:val="00A95319"/>
    <w:pPr>
      <w:spacing w:after="200" w:line="276" w:lineRule="auto"/>
      <w:ind w:left="720"/>
      <w:contextualSpacing/>
    </w:pPr>
    <w:rPr>
      <w:rFonts w:ascii="Calibri" w:eastAsia="Calibri" w:hAnsi="Calibri"/>
      <w:sz w:val="22"/>
      <w:szCs w:val="22"/>
      <w:lang w:eastAsia="en-US"/>
    </w:rPr>
  </w:style>
  <w:style w:type="paragraph" w:customStyle="1" w:styleId="StyleTitre211ptAprs9ptInterligneMultiple115li">
    <w:name w:val="Style Titre 2 + 11 pt Après : 9 pt Interligne : Multiple 115 li"/>
    <w:basedOn w:val="afe"/>
    <w:rsid w:val="00627420"/>
    <w:pPr>
      <w:spacing w:after="180" w:line="276" w:lineRule="auto"/>
    </w:pPr>
    <w:rPr>
      <w:sz w:val="22"/>
      <w:szCs w:val="20"/>
    </w:rPr>
  </w:style>
  <w:style w:type="paragraph" w:styleId="afe">
    <w:name w:val="Plain Text"/>
    <w:basedOn w:val="a"/>
    <w:link w:val="aff"/>
    <w:uiPriority w:val="99"/>
    <w:semiHidden/>
    <w:unhideWhenUsed/>
    <w:rsid w:val="00627420"/>
    <w:rPr>
      <w:rFonts w:ascii="Consolas" w:hAnsi="Consolas"/>
      <w:sz w:val="21"/>
      <w:szCs w:val="21"/>
    </w:rPr>
  </w:style>
  <w:style w:type="character" w:customStyle="1" w:styleId="aff">
    <w:name w:val="Обикновен текст Знак"/>
    <w:basedOn w:val="a0"/>
    <w:link w:val="afe"/>
    <w:uiPriority w:val="99"/>
    <w:semiHidden/>
    <w:rsid w:val="00627420"/>
    <w:rPr>
      <w:rFonts w:ascii="Consolas" w:eastAsia="Times New Roman" w:hAnsi="Consolas"/>
      <w:sz w:val="21"/>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159"/>
    <w:rPr>
      <w:rFonts w:ascii="Times New Roman" w:eastAsia="Times New Roman" w:hAnsi="Times New Roman"/>
      <w:sz w:val="24"/>
      <w:szCs w:val="24"/>
      <w:lang w:val="en-GB"/>
    </w:rPr>
  </w:style>
  <w:style w:type="paragraph" w:styleId="1">
    <w:name w:val="heading 1"/>
    <w:basedOn w:val="a"/>
    <w:next w:val="a"/>
    <w:link w:val="10"/>
    <w:uiPriority w:val="99"/>
    <w:qFormat/>
    <w:rsid w:val="007552F3"/>
    <w:pPr>
      <w:keepNext/>
      <w:tabs>
        <w:tab w:val="num" w:pos="360"/>
      </w:tabs>
      <w:spacing w:before="240" w:after="240"/>
      <w:ind w:left="360" w:hanging="360"/>
      <w:jc w:val="both"/>
      <w:outlineLvl w:val="0"/>
    </w:pPr>
    <w:rPr>
      <w:rFonts w:eastAsia="Calibri"/>
      <w:b/>
      <w:bCs/>
      <w:smallCaps/>
    </w:rPr>
  </w:style>
  <w:style w:type="paragraph" w:styleId="2">
    <w:name w:val="heading 2"/>
    <w:basedOn w:val="a"/>
    <w:next w:val="a"/>
    <w:link w:val="20"/>
    <w:uiPriority w:val="99"/>
    <w:qFormat/>
    <w:rsid w:val="00570C49"/>
    <w:pPr>
      <w:keepNext/>
      <w:tabs>
        <w:tab w:val="left" w:pos="708"/>
      </w:tabs>
      <w:spacing w:after="240"/>
      <w:jc w:val="both"/>
      <w:outlineLvl w:val="1"/>
    </w:pPr>
    <w:rPr>
      <w:rFonts w:ascii="Verdana" w:eastAsia="Calibri" w:hAnsi="Verdana"/>
      <w:b/>
      <w:bCs/>
    </w:rPr>
  </w:style>
  <w:style w:type="paragraph" w:styleId="3">
    <w:name w:val="heading 3"/>
    <w:basedOn w:val="a"/>
    <w:next w:val="a"/>
    <w:link w:val="30"/>
    <w:uiPriority w:val="99"/>
    <w:qFormat/>
    <w:rsid w:val="007552F3"/>
    <w:pPr>
      <w:keepNext/>
      <w:numPr>
        <w:ilvl w:val="2"/>
        <w:numId w:val="1"/>
      </w:numPr>
      <w:tabs>
        <w:tab w:val="num" w:pos="1920"/>
      </w:tabs>
      <w:spacing w:after="240"/>
      <w:ind w:left="1920" w:hanging="720"/>
      <w:jc w:val="both"/>
      <w:outlineLvl w:val="2"/>
    </w:pPr>
    <w:rPr>
      <w:rFonts w:eastAsia="Calibri"/>
      <w:i/>
      <w:iCs/>
    </w:rPr>
  </w:style>
  <w:style w:type="paragraph" w:styleId="4">
    <w:name w:val="heading 4"/>
    <w:basedOn w:val="a"/>
    <w:next w:val="a"/>
    <w:link w:val="40"/>
    <w:uiPriority w:val="99"/>
    <w:qFormat/>
    <w:rsid w:val="007552F3"/>
    <w:pPr>
      <w:spacing w:after="200" w:line="276" w:lineRule="auto"/>
      <w:jc w:val="both"/>
      <w:outlineLvl w:val="3"/>
    </w:pPr>
    <w:rPr>
      <w:rFonts w:ascii="Verdana" w:eastAsia="Calibri" w:hAnsi="Verdana"/>
      <w:b/>
      <w:sz w:val="20"/>
      <w:szCs w:val="20"/>
    </w:rPr>
  </w:style>
  <w:style w:type="paragraph" w:styleId="5">
    <w:name w:val="heading 5"/>
    <w:basedOn w:val="a"/>
    <w:next w:val="a"/>
    <w:link w:val="50"/>
    <w:uiPriority w:val="99"/>
    <w:qFormat/>
    <w:rsid w:val="007552F3"/>
    <w:pPr>
      <w:spacing w:line="276" w:lineRule="auto"/>
      <w:jc w:val="both"/>
      <w:outlineLvl w:val="4"/>
    </w:pPr>
    <w:rPr>
      <w:rFonts w:ascii="Calibri" w:eastAsia="Calibri" w:hAnsi="Calibri"/>
      <w:i/>
      <w:sz w:val="20"/>
      <w:szCs w:val="20"/>
    </w:rPr>
  </w:style>
  <w:style w:type="paragraph" w:styleId="6">
    <w:name w:val="heading 6"/>
    <w:basedOn w:val="a"/>
    <w:next w:val="a"/>
    <w:link w:val="60"/>
    <w:qFormat/>
    <w:rsid w:val="0099587B"/>
    <w:pPr>
      <w:keepNext/>
      <w:widowControl w:val="0"/>
      <w:suppressAutoHyphens/>
      <w:spacing w:before="120" w:after="120"/>
      <w:jc w:val="center"/>
      <w:outlineLvl w:val="5"/>
    </w:pPr>
    <w:rPr>
      <w:rFonts w:ascii="Verdana" w:eastAsia="SimSun" w:hAnsi="Verdana" w:cs="Mangal"/>
      <w:b/>
      <w:bCs/>
      <w:kern w:val="1"/>
      <w:lang w:eastAsia="de-DE" w:bidi="hi-IN"/>
    </w:rPr>
  </w:style>
  <w:style w:type="paragraph" w:styleId="7">
    <w:name w:val="heading 7"/>
    <w:basedOn w:val="a"/>
    <w:next w:val="a"/>
    <w:link w:val="70"/>
    <w:qFormat/>
    <w:rsid w:val="0099587B"/>
    <w:pPr>
      <w:keepNext/>
      <w:widowControl w:val="0"/>
      <w:suppressAutoHyphens/>
      <w:spacing w:before="120" w:after="120"/>
      <w:outlineLvl w:val="6"/>
    </w:pPr>
    <w:rPr>
      <w:rFonts w:ascii="Verdana" w:eastAsia="SimSun" w:hAnsi="Verdana" w:cs="Mangal"/>
      <w:b/>
      <w:bCs/>
      <w:kern w:val="1"/>
      <w:lang w:eastAsia="hi-IN" w:bidi="hi-IN"/>
    </w:rPr>
  </w:style>
  <w:style w:type="paragraph" w:styleId="8">
    <w:name w:val="heading 8"/>
    <w:basedOn w:val="a"/>
    <w:next w:val="a"/>
    <w:link w:val="80"/>
    <w:qFormat/>
    <w:rsid w:val="0099587B"/>
    <w:pPr>
      <w:keepNext/>
      <w:widowControl w:val="0"/>
      <w:suppressAutoHyphens/>
      <w:outlineLvl w:val="7"/>
    </w:pPr>
    <w:rPr>
      <w:rFonts w:ascii="Verdana" w:eastAsia="SimSun" w:hAnsi="Verdana" w:cs="Mangal"/>
      <w:b/>
      <w:bCs/>
      <w:color w:val="000000"/>
      <w:kern w:val="1"/>
      <w:lang w:eastAsia="hi-IN" w:bidi="hi-IN"/>
    </w:rPr>
  </w:style>
  <w:style w:type="paragraph" w:styleId="9">
    <w:name w:val="heading 9"/>
    <w:basedOn w:val="a"/>
    <w:next w:val="a"/>
    <w:link w:val="90"/>
    <w:qFormat/>
    <w:rsid w:val="0099587B"/>
    <w:pPr>
      <w:keepNext/>
      <w:widowControl w:val="0"/>
      <w:suppressAutoHyphens/>
      <w:outlineLvl w:val="8"/>
    </w:pPr>
    <w:rPr>
      <w:rFonts w:ascii="Verdana" w:eastAsia="SimSun" w:hAnsi="Verdana" w:cs="Mangal"/>
      <w:b/>
      <w:bCs/>
      <w:kern w:val="1"/>
      <w:sz w:val="18"/>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uiPriority w:val="99"/>
    <w:rsid w:val="007552F3"/>
    <w:rPr>
      <w:rFonts w:ascii="Times New Roman" w:eastAsia="Calibri" w:hAnsi="Times New Roman" w:cs="Times New Roman"/>
      <w:b/>
      <w:bCs/>
      <w:smallCaps/>
      <w:sz w:val="24"/>
      <w:szCs w:val="24"/>
      <w:lang w:val="en-GB" w:eastAsia="fr-FR"/>
    </w:rPr>
  </w:style>
  <w:style w:type="character" w:customStyle="1" w:styleId="20">
    <w:name w:val="Заглавие 2 Знак"/>
    <w:link w:val="2"/>
    <w:uiPriority w:val="99"/>
    <w:rsid w:val="00570C49"/>
    <w:rPr>
      <w:rFonts w:ascii="Verdana" w:hAnsi="Verdana"/>
      <w:b/>
      <w:bCs/>
      <w:sz w:val="24"/>
      <w:szCs w:val="24"/>
      <w:lang w:val="en-GB"/>
    </w:rPr>
  </w:style>
  <w:style w:type="character" w:customStyle="1" w:styleId="30">
    <w:name w:val="Заглавие 3 Знак"/>
    <w:link w:val="3"/>
    <w:uiPriority w:val="99"/>
    <w:rsid w:val="007552F3"/>
    <w:rPr>
      <w:rFonts w:ascii="Times New Roman" w:hAnsi="Times New Roman"/>
      <w:i/>
      <w:iCs/>
      <w:sz w:val="24"/>
      <w:szCs w:val="24"/>
      <w:lang w:val="en-GB"/>
    </w:rPr>
  </w:style>
  <w:style w:type="character" w:customStyle="1" w:styleId="40">
    <w:name w:val="Заглавие 4 Знак"/>
    <w:link w:val="4"/>
    <w:uiPriority w:val="99"/>
    <w:rsid w:val="007552F3"/>
    <w:rPr>
      <w:rFonts w:ascii="Verdana" w:eastAsia="Calibri" w:hAnsi="Verdana" w:cs="Times New Roman"/>
      <w:b/>
      <w:sz w:val="20"/>
      <w:szCs w:val="20"/>
      <w:lang w:val="en-GB"/>
    </w:rPr>
  </w:style>
  <w:style w:type="character" w:customStyle="1" w:styleId="50">
    <w:name w:val="Заглавие 5 Знак"/>
    <w:link w:val="5"/>
    <w:uiPriority w:val="99"/>
    <w:rsid w:val="007552F3"/>
    <w:rPr>
      <w:rFonts w:ascii="Calibri" w:eastAsia="Calibri" w:hAnsi="Calibri" w:cs="Times New Roman"/>
      <w:i/>
      <w:lang w:val="en-GB"/>
    </w:rPr>
  </w:style>
  <w:style w:type="character" w:customStyle="1" w:styleId="60">
    <w:name w:val="Заглавие 6 Знак"/>
    <w:link w:val="6"/>
    <w:rsid w:val="0099587B"/>
    <w:rPr>
      <w:rFonts w:ascii="Verdana" w:eastAsia="SimSun" w:hAnsi="Verdana" w:cs="Mangal"/>
      <w:b/>
      <w:bCs/>
      <w:kern w:val="1"/>
      <w:sz w:val="24"/>
      <w:szCs w:val="24"/>
      <w:lang w:val="en-GB" w:eastAsia="de-DE" w:bidi="hi-IN"/>
    </w:rPr>
  </w:style>
  <w:style w:type="character" w:customStyle="1" w:styleId="70">
    <w:name w:val="Заглавие 7 Знак"/>
    <w:link w:val="7"/>
    <w:rsid w:val="0099587B"/>
    <w:rPr>
      <w:rFonts w:ascii="Verdana" w:eastAsia="SimSun" w:hAnsi="Verdana" w:cs="Mangal"/>
      <w:b/>
      <w:bCs/>
      <w:kern w:val="1"/>
      <w:sz w:val="24"/>
      <w:szCs w:val="24"/>
      <w:lang w:val="en-GB" w:eastAsia="hi-IN" w:bidi="hi-IN"/>
    </w:rPr>
  </w:style>
  <w:style w:type="character" w:customStyle="1" w:styleId="80">
    <w:name w:val="Заглавие 8 Знак"/>
    <w:link w:val="8"/>
    <w:rsid w:val="0099587B"/>
    <w:rPr>
      <w:rFonts w:ascii="Verdana" w:eastAsia="SimSun" w:hAnsi="Verdana" w:cs="Mangal"/>
      <w:b/>
      <w:bCs/>
      <w:color w:val="000000"/>
      <w:kern w:val="1"/>
      <w:sz w:val="24"/>
      <w:szCs w:val="24"/>
      <w:lang w:val="en-GB" w:eastAsia="hi-IN" w:bidi="hi-IN"/>
    </w:rPr>
  </w:style>
  <w:style w:type="character" w:customStyle="1" w:styleId="90">
    <w:name w:val="Заглавие 9 Знак"/>
    <w:link w:val="9"/>
    <w:rsid w:val="0099587B"/>
    <w:rPr>
      <w:rFonts w:ascii="Verdana" w:eastAsia="SimSun" w:hAnsi="Verdana" w:cs="Mangal"/>
      <w:b/>
      <w:bCs/>
      <w:kern w:val="1"/>
      <w:sz w:val="18"/>
      <w:szCs w:val="24"/>
      <w:lang w:val="en-GB" w:eastAsia="hi-IN" w:bidi="hi-IN"/>
    </w:rPr>
  </w:style>
  <w:style w:type="paragraph" w:customStyle="1" w:styleId="Standard-IfS">
    <w:name w:val="Standard - IfS"/>
    <w:rsid w:val="00592786"/>
    <w:pPr>
      <w:tabs>
        <w:tab w:val="left" w:pos="227"/>
        <w:tab w:val="left" w:pos="357"/>
        <w:tab w:val="left" w:pos="454"/>
        <w:tab w:val="left" w:pos="709"/>
        <w:tab w:val="left" w:pos="851"/>
        <w:tab w:val="left" w:pos="992"/>
      </w:tabs>
      <w:spacing w:after="312" w:line="312" w:lineRule="auto"/>
      <w:jc w:val="both"/>
    </w:pPr>
    <w:rPr>
      <w:rFonts w:ascii="Arial" w:eastAsia="Times New Roman" w:hAnsi="Arial" w:cs="Arial"/>
      <w:sz w:val="22"/>
      <w:szCs w:val="22"/>
      <w:lang w:val="de-DE" w:eastAsia="en-US"/>
    </w:rPr>
  </w:style>
  <w:style w:type="paragraph" w:styleId="31">
    <w:name w:val="Body Text Indent 3"/>
    <w:basedOn w:val="a"/>
    <w:link w:val="32"/>
    <w:rsid w:val="00592786"/>
    <w:pPr>
      <w:ind w:left="708"/>
      <w:jc w:val="center"/>
    </w:pPr>
    <w:rPr>
      <w:b/>
      <w:bCs/>
      <w:sz w:val="44"/>
      <w:szCs w:val="44"/>
    </w:rPr>
  </w:style>
  <w:style w:type="character" w:customStyle="1" w:styleId="32">
    <w:name w:val="Основен текст с отстъп 3 Знак"/>
    <w:link w:val="31"/>
    <w:rsid w:val="00592786"/>
    <w:rPr>
      <w:rFonts w:ascii="Times New Roman" w:eastAsia="Times New Roman" w:hAnsi="Times New Roman" w:cs="Times New Roman"/>
      <w:b/>
      <w:bCs/>
      <w:sz w:val="44"/>
      <w:szCs w:val="44"/>
      <w:lang w:val="en-GB" w:eastAsia="fr-FR"/>
    </w:rPr>
  </w:style>
  <w:style w:type="paragraph" w:styleId="a3">
    <w:name w:val="Balloon Text"/>
    <w:basedOn w:val="a"/>
    <w:link w:val="a4"/>
    <w:uiPriority w:val="99"/>
    <w:semiHidden/>
    <w:unhideWhenUsed/>
    <w:rsid w:val="00592786"/>
    <w:rPr>
      <w:rFonts w:ascii="Tahoma" w:hAnsi="Tahoma"/>
      <w:sz w:val="16"/>
      <w:szCs w:val="16"/>
    </w:rPr>
  </w:style>
  <w:style w:type="character" w:customStyle="1" w:styleId="a4">
    <w:name w:val="Изнесен текст Знак"/>
    <w:link w:val="a3"/>
    <w:uiPriority w:val="99"/>
    <w:semiHidden/>
    <w:rsid w:val="00592786"/>
    <w:rPr>
      <w:rFonts w:ascii="Tahoma" w:eastAsia="Times New Roman" w:hAnsi="Tahoma" w:cs="Tahoma"/>
      <w:sz w:val="16"/>
      <w:szCs w:val="16"/>
      <w:lang w:eastAsia="fr-FR"/>
    </w:rPr>
  </w:style>
  <w:style w:type="paragraph" w:customStyle="1" w:styleId="Paragraphedeliste3">
    <w:name w:val="Paragraphe de liste3"/>
    <w:basedOn w:val="a"/>
    <w:uiPriority w:val="34"/>
    <w:qFormat/>
    <w:rsid w:val="007552F3"/>
    <w:pPr>
      <w:spacing w:after="200" w:line="276" w:lineRule="auto"/>
      <w:ind w:left="720"/>
      <w:contextualSpacing/>
    </w:pPr>
    <w:rPr>
      <w:rFonts w:ascii="Calibri" w:eastAsia="Calibri" w:hAnsi="Calibri"/>
      <w:sz w:val="22"/>
      <w:szCs w:val="22"/>
      <w:lang w:eastAsia="en-US"/>
    </w:rPr>
  </w:style>
  <w:style w:type="paragraph" w:customStyle="1" w:styleId="U2Title1">
    <w:name w:val="U2 Title 1"/>
    <w:basedOn w:val="a"/>
    <w:uiPriority w:val="99"/>
    <w:rsid w:val="007552F3"/>
    <w:pPr>
      <w:pBdr>
        <w:bottom w:val="single" w:sz="6" w:space="1" w:color="auto"/>
      </w:pBdr>
      <w:spacing w:before="60"/>
      <w:jc w:val="both"/>
    </w:pPr>
    <w:rPr>
      <w:rFonts w:ascii="Verdana" w:eastAsia="Calibri" w:hAnsi="Verdana"/>
      <w:b/>
      <w:bCs/>
      <w:smallCaps/>
      <w:sz w:val="32"/>
      <w:szCs w:val="32"/>
    </w:rPr>
  </w:style>
  <w:style w:type="character" w:styleId="a5">
    <w:name w:val="footnote reference"/>
    <w:aliases w:val="stylish,ESPON Footnote No"/>
    <w:rsid w:val="007552F3"/>
    <w:rPr>
      <w:rFonts w:cs="Times New Roman"/>
      <w:vertAlign w:val="superscript"/>
    </w:rPr>
  </w:style>
  <w:style w:type="paragraph" w:styleId="a6">
    <w:name w:val="Normal (Web)"/>
    <w:basedOn w:val="a"/>
    <w:uiPriority w:val="99"/>
    <w:rsid w:val="007552F3"/>
    <w:pPr>
      <w:spacing w:before="100" w:beforeAutospacing="1" w:after="100" w:afterAutospacing="1"/>
    </w:pPr>
    <w:rPr>
      <w:rFonts w:ascii="Arial Unicode MS" w:eastAsia="Arial Unicode MS" w:hAnsi="Arial Unicode MS"/>
    </w:rPr>
  </w:style>
  <w:style w:type="paragraph" w:styleId="a7">
    <w:name w:val="footnote text"/>
    <w:aliases w:val="ESPON Footnote Text"/>
    <w:basedOn w:val="a"/>
    <w:link w:val="a8"/>
    <w:rsid w:val="007552F3"/>
    <w:pPr>
      <w:jc w:val="both"/>
    </w:pPr>
    <w:rPr>
      <w:rFonts w:ascii="Calibri" w:eastAsia="Calibri" w:hAnsi="Calibri"/>
      <w:sz w:val="20"/>
      <w:szCs w:val="20"/>
      <w:lang w:eastAsia="zh-CN"/>
    </w:rPr>
  </w:style>
  <w:style w:type="character" w:customStyle="1" w:styleId="a8">
    <w:name w:val="Текст под линия Знак"/>
    <w:aliases w:val="ESPON Footnote Text Знак"/>
    <w:link w:val="a7"/>
    <w:uiPriority w:val="99"/>
    <w:rsid w:val="007552F3"/>
    <w:rPr>
      <w:rFonts w:ascii="Calibri" w:eastAsia="Calibri" w:hAnsi="Calibri" w:cs="Times New Roman"/>
      <w:sz w:val="20"/>
      <w:szCs w:val="20"/>
      <w:lang w:val="en-GB" w:eastAsia="zh-CN"/>
    </w:rPr>
  </w:style>
  <w:style w:type="character" w:customStyle="1" w:styleId="FootnoteTextChar">
    <w:name w:val="Footnote Text Char"/>
    <w:aliases w:val="ESPON Footnote Text Char"/>
    <w:uiPriority w:val="99"/>
    <w:semiHidden/>
    <w:locked/>
    <w:rsid w:val="007552F3"/>
    <w:rPr>
      <w:rFonts w:cs="Times New Roman"/>
      <w:sz w:val="20"/>
      <w:szCs w:val="20"/>
      <w:lang w:val="en-GB" w:eastAsia="en-US"/>
    </w:rPr>
  </w:style>
  <w:style w:type="paragraph" w:customStyle="1" w:styleId="StyleHeading1Hanging085cm">
    <w:name w:val="Style Heading 1 + Hanging:  0.85 cm"/>
    <w:basedOn w:val="1"/>
    <w:autoRedefine/>
    <w:uiPriority w:val="99"/>
    <w:rsid w:val="00A40420"/>
    <w:pPr>
      <w:tabs>
        <w:tab w:val="clear" w:pos="360"/>
        <w:tab w:val="left" w:pos="1560"/>
      </w:tabs>
      <w:spacing w:before="360" w:after="0"/>
      <w:ind w:left="0" w:firstLine="0"/>
    </w:pPr>
    <w:rPr>
      <w:rFonts w:ascii="Verdana" w:hAnsi="Verdana"/>
      <w:bCs w:val="0"/>
      <w:sz w:val="28"/>
      <w:szCs w:val="28"/>
      <w:lang w:eastAsia="en-US"/>
    </w:rPr>
  </w:style>
  <w:style w:type="paragraph" w:customStyle="1" w:styleId="Paragraphedeliste1">
    <w:name w:val="Paragraphe de liste1"/>
    <w:basedOn w:val="a"/>
    <w:uiPriority w:val="99"/>
    <w:qFormat/>
    <w:rsid w:val="007552F3"/>
    <w:pPr>
      <w:spacing w:after="240"/>
      <w:ind w:left="720"/>
      <w:jc w:val="both"/>
    </w:pPr>
    <w:rPr>
      <w:rFonts w:eastAsia="Calibri"/>
      <w:szCs w:val="20"/>
      <w:lang w:eastAsia="en-US"/>
    </w:rPr>
  </w:style>
  <w:style w:type="character" w:styleId="a9">
    <w:name w:val="Strong"/>
    <w:aliases w:val="5C OP Heading 3"/>
    <w:uiPriority w:val="99"/>
    <w:qFormat/>
    <w:rsid w:val="007552F3"/>
    <w:rPr>
      <w:rFonts w:ascii="Arial" w:hAnsi="Arial" w:cs="Times New Roman"/>
      <w:color w:val="auto"/>
      <w:sz w:val="24"/>
      <w:lang w:val="en-GB" w:eastAsia="ar-SA" w:bidi="ar-SA"/>
    </w:rPr>
  </w:style>
  <w:style w:type="character" w:customStyle="1" w:styleId="TableauGrille1Clair1">
    <w:name w:val="Tableau Grille 1 Clair1"/>
    <w:aliases w:val="5C OP Heading 4"/>
    <w:uiPriority w:val="99"/>
    <w:rsid w:val="007552F3"/>
    <w:rPr>
      <w:rFonts w:ascii="Arial" w:hAnsi="Arial"/>
      <w:b/>
      <w:color w:val="auto"/>
      <w:sz w:val="28"/>
      <w:lang w:eastAsia="ar-SA" w:bidi="ar-SA"/>
    </w:rPr>
  </w:style>
  <w:style w:type="character" w:customStyle="1" w:styleId="Rfrenceintense1">
    <w:name w:val="Référence intense1"/>
    <w:uiPriority w:val="99"/>
    <w:rsid w:val="007552F3"/>
    <w:rPr>
      <w:rFonts w:ascii="Verdana" w:hAnsi="Verdana"/>
      <w:b/>
      <w:color w:val="000000"/>
    </w:rPr>
  </w:style>
  <w:style w:type="paragraph" w:customStyle="1" w:styleId="Text1">
    <w:name w:val="Text 1"/>
    <w:basedOn w:val="a"/>
    <w:link w:val="Text1Char"/>
    <w:rsid w:val="007552F3"/>
    <w:pPr>
      <w:tabs>
        <w:tab w:val="left" w:pos="2160"/>
      </w:tabs>
      <w:spacing w:after="240"/>
      <w:ind w:left="1440"/>
      <w:jc w:val="both"/>
    </w:pPr>
    <w:rPr>
      <w:rFonts w:ascii="Calibri" w:eastAsia="Calibri" w:hAnsi="Calibri"/>
      <w:szCs w:val="20"/>
    </w:rPr>
  </w:style>
  <w:style w:type="character" w:customStyle="1" w:styleId="Text1Char">
    <w:name w:val="Text 1 Char"/>
    <w:link w:val="Text1"/>
    <w:uiPriority w:val="99"/>
    <w:locked/>
    <w:rsid w:val="007552F3"/>
    <w:rPr>
      <w:rFonts w:ascii="Calibri" w:eastAsia="Calibri" w:hAnsi="Calibri" w:cs="Times New Roman"/>
      <w:sz w:val="24"/>
      <w:szCs w:val="20"/>
      <w:lang w:val="en-GB"/>
    </w:rPr>
  </w:style>
  <w:style w:type="paragraph" w:customStyle="1" w:styleId="ListBullet1">
    <w:name w:val="List Bullet 1"/>
    <w:basedOn w:val="Text1"/>
    <w:uiPriority w:val="99"/>
    <w:rsid w:val="007552F3"/>
    <w:pPr>
      <w:tabs>
        <w:tab w:val="clear" w:pos="2160"/>
        <w:tab w:val="num" w:pos="360"/>
      </w:tabs>
    </w:pPr>
    <w:rPr>
      <w:rFonts w:ascii="Times New Roman" w:hAnsi="Times New Roman"/>
      <w:szCs w:val="24"/>
      <w:lang w:val="fr-FR"/>
    </w:rPr>
  </w:style>
  <w:style w:type="paragraph" w:customStyle="1" w:styleId="Text3">
    <w:name w:val="Text 3"/>
    <w:basedOn w:val="a"/>
    <w:uiPriority w:val="99"/>
    <w:rsid w:val="007552F3"/>
    <w:pPr>
      <w:tabs>
        <w:tab w:val="left" w:pos="2302"/>
      </w:tabs>
      <w:spacing w:after="240"/>
      <w:ind w:left="1916"/>
      <w:jc w:val="both"/>
    </w:pPr>
    <w:rPr>
      <w:rFonts w:eastAsia="Calibri"/>
      <w:szCs w:val="20"/>
      <w:lang w:eastAsia="en-US"/>
    </w:rPr>
  </w:style>
  <w:style w:type="paragraph" w:styleId="aa">
    <w:name w:val="caption"/>
    <w:basedOn w:val="a"/>
    <w:next w:val="a"/>
    <w:uiPriority w:val="99"/>
    <w:qFormat/>
    <w:rsid w:val="007552F3"/>
    <w:pPr>
      <w:spacing w:after="200" w:line="276" w:lineRule="auto"/>
    </w:pPr>
    <w:rPr>
      <w:rFonts w:ascii="Calibri" w:eastAsia="Calibri" w:hAnsi="Calibri"/>
      <w:b/>
      <w:bCs/>
      <w:sz w:val="20"/>
      <w:szCs w:val="20"/>
      <w:lang w:eastAsia="en-US"/>
    </w:rPr>
  </w:style>
  <w:style w:type="character" w:customStyle="1" w:styleId="ab">
    <w:name w:val="Текст на бележка в края Знак"/>
    <w:link w:val="ac"/>
    <w:uiPriority w:val="99"/>
    <w:semiHidden/>
    <w:rsid w:val="007552F3"/>
    <w:rPr>
      <w:rFonts w:ascii="Calibri" w:eastAsia="Calibri" w:hAnsi="Calibri" w:cs="Times New Roman"/>
      <w:sz w:val="20"/>
      <w:szCs w:val="20"/>
      <w:lang w:val="en-GB"/>
    </w:rPr>
  </w:style>
  <w:style w:type="paragraph" w:styleId="ac">
    <w:name w:val="endnote text"/>
    <w:basedOn w:val="a"/>
    <w:link w:val="ab"/>
    <w:uiPriority w:val="99"/>
    <w:semiHidden/>
    <w:rsid w:val="007552F3"/>
    <w:pPr>
      <w:spacing w:after="200" w:line="276" w:lineRule="auto"/>
    </w:pPr>
    <w:rPr>
      <w:rFonts w:ascii="Calibri" w:eastAsia="Calibri" w:hAnsi="Calibri"/>
      <w:sz w:val="20"/>
      <w:szCs w:val="20"/>
    </w:rPr>
  </w:style>
  <w:style w:type="paragraph" w:customStyle="1" w:styleId="Paragraphedeliste2">
    <w:name w:val="Paragraphe de liste2"/>
    <w:basedOn w:val="a"/>
    <w:qFormat/>
    <w:rsid w:val="007552F3"/>
    <w:pPr>
      <w:spacing w:after="200" w:line="276" w:lineRule="auto"/>
      <w:ind w:left="720"/>
      <w:contextualSpacing/>
      <w:jc w:val="both"/>
    </w:pPr>
    <w:rPr>
      <w:rFonts w:ascii="Calibri" w:hAnsi="Calibri"/>
      <w:color w:val="000000"/>
      <w:sz w:val="22"/>
      <w:szCs w:val="22"/>
      <w:lang w:eastAsia="en-US"/>
    </w:rPr>
  </w:style>
  <w:style w:type="paragraph" w:styleId="ad">
    <w:name w:val="annotation text"/>
    <w:basedOn w:val="a"/>
    <w:link w:val="ae"/>
    <w:uiPriority w:val="99"/>
    <w:unhideWhenUsed/>
    <w:rsid w:val="007552F3"/>
    <w:pPr>
      <w:spacing w:after="200"/>
    </w:pPr>
    <w:rPr>
      <w:rFonts w:ascii="Calibri" w:eastAsia="Calibri" w:hAnsi="Calibri"/>
      <w:sz w:val="20"/>
      <w:szCs w:val="20"/>
    </w:rPr>
  </w:style>
  <w:style w:type="character" w:customStyle="1" w:styleId="ae">
    <w:name w:val="Текст на коментар Знак"/>
    <w:link w:val="ad"/>
    <w:uiPriority w:val="99"/>
    <w:rsid w:val="007552F3"/>
    <w:rPr>
      <w:rFonts w:ascii="Calibri" w:eastAsia="Calibri" w:hAnsi="Calibri" w:cs="Times New Roman"/>
      <w:sz w:val="20"/>
      <w:szCs w:val="20"/>
      <w:lang w:val="en-GB"/>
    </w:rPr>
  </w:style>
  <w:style w:type="character" w:customStyle="1" w:styleId="af">
    <w:name w:val="Предмет на коментар Знак"/>
    <w:link w:val="af0"/>
    <w:uiPriority w:val="99"/>
    <w:semiHidden/>
    <w:rsid w:val="007552F3"/>
    <w:rPr>
      <w:rFonts w:ascii="Calibri" w:eastAsia="Calibri" w:hAnsi="Calibri" w:cs="Times New Roman"/>
      <w:b/>
      <w:bCs/>
      <w:sz w:val="20"/>
      <w:szCs w:val="20"/>
      <w:lang w:val="en-GB"/>
    </w:rPr>
  </w:style>
  <w:style w:type="paragraph" w:styleId="af0">
    <w:name w:val="annotation subject"/>
    <w:basedOn w:val="ad"/>
    <w:next w:val="ad"/>
    <w:link w:val="af"/>
    <w:uiPriority w:val="99"/>
    <w:semiHidden/>
    <w:unhideWhenUsed/>
    <w:rsid w:val="007552F3"/>
    <w:rPr>
      <w:b/>
      <w:bCs/>
    </w:rPr>
  </w:style>
  <w:style w:type="paragraph" w:styleId="af1">
    <w:name w:val="header"/>
    <w:basedOn w:val="a"/>
    <w:link w:val="af2"/>
    <w:uiPriority w:val="99"/>
    <w:rsid w:val="007552F3"/>
    <w:pPr>
      <w:tabs>
        <w:tab w:val="center" w:pos="4536"/>
        <w:tab w:val="right" w:pos="9072"/>
      </w:tabs>
      <w:spacing w:line="260" w:lineRule="atLeast"/>
    </w:pPr>
    <w:rPr>
      <w:rFonts w:ascii="Arial" w:hAnsi="Arial"/>
      <w:sz w:val="20"/>
    </w:rPr>
  </w:style>
  <w:style w:type="character" w:customStyle="1" w:styleId="af2">
    <w:name w:val="Горен колонтитул Знак"/>
    <w:link w:val="af1"/>
    <w:uiPriority w:val="99"/>
    <w:rsid w:val="007552F3"/>
    <w:rPr>
      <w:rFonts w:ascii="Arial" w:eastAsia="Times New Roman" w:hAnsi="Arial" w:cs="Times New Roman"/>
      <w:sz w:val="20"/>
      <w:szCs w:val="24"/>
      <w:lang w:val="en-GB"/>
    </w:rPr>
  </w:style>
  <w:style w:type="paragraph" w:styleId="af3">
    <w:name w:val="footer"/>
    <w:basedOn w:val="a"/>
    <w:link w:val="af4"/>
    <w:uiPriority w:val="99"/>
    <w:rsid w:val="007552F3"/>
    <w:pPr>
      <w:tabs>
        <w:tab w:val="center" w:pos="4536"/>
        <w:tab w:val="right" w:pos="9072"/>
      </w:tabs>
      <w:spacing w:line="260" w:lineRule="atLeast"/>
    </w:pPr>
    <w:rPr>
      <w:rFonts w:ascii="Arial" w:hAnsi="Arial"/>
      <w:sz w:val="20"/>
    </w:rPr>
  </w:style>
  <w:style w:type="character" w:customStyle="1" w:styleId="af4">
    <w:name w:val="Долен колонтитул Знак"/>
    <w:link w:val="af3"/>
    <w:uiPriority w:val="99"/>
    <w:rsid w:val="007552F3"/>
    <w:rPr>
      <w:rFonts w:ascii="Arial" w:eastAsia="Times New Roman" w:hAnsi="Arial" w:cs="Times New Roman"/>
      <w:sz w:val="20"/>
      <w:szCs w:val="24"/>
      <w:lang w:val="en-GB"/>
    </w:rPr>
  </w:style>
  <w:style w:type="character" w:customStyle="1" w:styleId="hps">
    <w:name w:val="hps"/>
    <w:basedOn w:val="a0"/>
    <w:rsid w:val="007552F3"/>
  </w:style>
  <w:style w:type="character" w:styleId="af5">
    <w:name w:val="Hyperlink"/>
    <w:uiPriority w:val="99"/>
    <w:unhideWhenUsed/>
    <w:rsid w:val="007552F3"/>
    <w:rPr>
      <w:color w:val="0000FF"/>
      <w:u w:val="single"/>
    </w:rPr>
  </w:style>
  <w:style w:type="table" w:styleId="af6">
    <w:name w:val="Table Grid"/>
    <w:basedOn w:val="a1"/>
    <w:uiPriority w:val="59"/>
    <w:rsid w:val="007552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
    <w:name w:val="titre"/>
    <w:basedOn w:val="a"/>
    <w:autoRedefine/>
    <w:rsid w:val="0099587B"/>
    <w:pPr>
      <w:widowControl w:val="0"/>
      <w:suppressAutoHyphens/>
    </w:pPr>
    <w:rPr>
      <w:rFonts w:ascii="Brocoli" w:eastAsia="SimSun" w:hAnsi="Brocoli" w:cs="Mangal"/>
      <w:color w:val="FF0000"/>
      <w:kern w:val="1"/>
      <w:sz w:val="32"/>
      <w:lang w:val="ru-RU" w:eastAsia="hi-IN" w:bidi="hi-IN"/>
    </w:rPr>
  </w:style>
  <w:style w:type="paragraph" w:customStyle="1" w:styleId="blocadresseletterhead">
    <w:name w:val="bloc adresse letterhead"/>
    <w:basedOn w:val="a"/>
    <w:rsid w:val="0099587B"/>
    <w:pPr>
      <w:widowControl w:val="0"/>
      <w:tabs>
        <w:tab w:val="left" w:pos="1520"/>
      </w:tabs>
      <w:suppressAutoHyphens/>
      <w:autoSpaceDE w:val="0"/>
      <w:autoSpaceDN w:val="0"/>
      <w:adjustRightInd w:val="0"/>
      <w:spacing w:after="28" w:line="200" w:lineRule="atLeast"/>
      <w:textAlignment w:val="center"/>
    </w:pPr>
    <w:rPr>
      <w:rFonts w:ascii="HelveticaNeue-Roman" w:eastAsia="SimSun" w:hAnsi="HelveticaNeue-Roman" w:cs="Mangal"/>
      <w:color w:val="00009E"/>
      <w:spacing w:val="1"/>
      <w:kern w:val="1"/>
      <w:sz w:val="12"/>
      <w:szCs w:val="12"/>
      <w:lang w:eastAsia="hi-IN" w:bidi="hi-IN"/>
    </w:rPr>
  </w:style>
  <w:style w:type="character" w:customStyle="1" w:styleId="gras">
    <w:name w:val="gras"/>
    <w:rsid w:val="0099587B"/>
    <w:rPr>
      <w:b/>
      <w:color w:val="00009E"/>
    </w:rPr>
  </w:style>
  <w:style w:type="paragraph" w:customStyle="1" w:styleId="--">
    <w:name w:val="--"/>
    <w:basedOn w:val="a"/>
    <w:rsid w:val="0099587B"/>
    <w:pPr>
      <w:widowControl w:val="0"/>
      <w:numPr>
        <w:numId w:val="6"/>
      </w:numPr>
      <w:suppressAutoHyphens/>
      <w:spacing w:before="80" w:after="80"/>
    </w:pPr>
    <w:rPr>
      <w:rFonts w:ascii="Verdana" w:eastAsia="Batang" w:hAnsi="Verdana" w:cs="Mangal"/>
      <w:kern w:val="1"/>
      <w:sz w:val="16"/>
      <w:lang w:eastAsia="de-DE" w:bidi="hi-IN"/>
    </w:rPr>
  </w:style>
  <w:style w:type="paragraph" w:styleId="33">
    <w:name w:val="Body Text 3"/>
    <w:basedOn w:val="a"/>
    <w:link w:val="34"/>
    <w:rsid w:val="0099587B"/>
    <w:pPr>
      <w:widowControl w:val="0"/>
      <w:suppressAutoHyphens/>
      <w:jc w:val="center"/>
    </w:pPr>
    <w:rPr>
      <w:rFonts w:ascii="Verdana" w:eastAsia="SimSun" w:hAnsi="Verdana" w:cs="Mangal"/>
      <w:kern w:val="1"/>
      <w:lang w:eastAsia="hi-IN" w:bidi="hi-IN"/>
    </w:rPr>
  </w:style>
  <w:style w:type="character" w:customStyle="1" w:styleId="34">
    <w:name w:val="Основен текст 3 Знак"/>
    <w:link w:val="33"/>
    <w:rsid w:val="0099587B"/>
    <w:rPr>
      <w:rFonts w:ascii="Verdana" w:eastAsia="SimSun" w:hAnsi="Verdana" w:cs="Mangal"/>
      <w:kern w:val="1"/>
      <w:sz w:val="24"/>
      <w:szCs w:val="24"/>
      <w:lang w:val="en-GB" w:eastAsia="hi-IN" w:bidi="hi-IN"/>
    </w:rPr>
  </w:style>
  <w:style w:type="character" w:styleId="af7">
    <w:name w:val="page number"/>
    <w:basedOn w:val="a0"/>
    <w:rsid w:val="0099587B"/>
  </w:style>
  <w:style w:type="paragraph" w:styleId="af8">
    <w:name w:val="Body Text"/>
    <w:basedOn w:val="a"/>
    <w:link w:val="af9"/>
    <w:rsid w:val="0099587B"/>
    <w:pPr>
      <w:widowControl w:val="0"/>
      <w:suppressAutoHyphens/>
      <w:spacing w:after="120"/>
    </w:pPr>
    <w:rPr>
      <w:rFonts w:eastAsia="SimSun" w:cs="Mangal"/>
      <w:kern w:val="1"/>
      <w:lang w:eastAsia="hi-IN" w:bidi="hi-IN"/>
    </w:rPr>
  </w:style>
  <w:style w:type="character" w:customStyle="1" w:styleId="af9">
    <w:name w:val="Основен текст Знак"/>
    <w:link w:val="af8"/>
    <w:rsid w:val="0099587B"/>
    <w:rPr>
      <w:rFonts w:ascii="Times New Roman" w:eastAsia="SimSun" w:hAnsi="Times New Roman" w:cs="Mangal"/>
      <w:kern w:val="1"/>
      <w:sz w:val="24"/>
      <w:szCs w:val="24"/>
      <w:lang w:val="en-GB" w:eastAsia="hi-IN" w:bidi="hi-IN"/>
    </w:rPr>
  </w:style>
  <w:style w:type="paragraph" w:customStyle="1" w:styleId="Default">
    <w:name w:val="Default"/>
    <w:uiPriority w:val="99"/>
    <w:rsid w:val="0099587B"/>
    <w:pPr>
      <w:autoSpaceDE w:val="0"/>
      <w:autoSpaceDN w:val="0"/>
      <w:adjustRightInd w:val="0"/>
    </w:pPr>
    <w:rPr>
      <w:rFonts w:ascii="Times New Roman" w:hAnsi="Times New Roman"/>
      <w:color w:val="000000"/>
      <w:sz w:val="24"/>
      <w:szCs w:val="24"/>
      <w:lang w:eastAsia="en-US"/>
    </w:rPr>
  </w:style>
  <w:style w:type="character" w:customStyle="1" w:styleId="ss-text-answer-container">
    <w:name w:val="ss-text-answer-container"/>
    <w:basedOn w:val="a0"/>
    <w:rsid w:val="0099587B"/>
  </w:style>
  <w:style w:type="character" w:styleId="afa">
    <w:name w:val="annotation reference"/>
    <w:uiPriority w:val="99"/>
    <w:unhideWhenUsed/>
    <w:rsid w:val="0099587B"/>
    <w:rPr>
      <w:sz w:val="16"/>
      <w:szCs w:val="16"/>
    </w:rPr>
  </w:style>
  <w:style w:type="paragraph" w:customStyle="1" w:styleId="CM1">
    <w:name w:val="CM1"/>
    <w:basedOn w:val="Default"/>
    <w:next w:val="Default"/>
    <w:uiPriority w:val="99"/>
    <w:rsid w:val="0099587B"/>
    <w:rPr>
      <w:rFonts w:ascii="EUAlbertina" w:eastAsia="Times New Roman" w:hAnsi="EUAlbertina"/>
      <w:color w:val="auto"/>
      <w:lang w:eastAsia="en-GB"/>
    </w:rPr>
  </w:style>
  <w:style w:type="paragraph" w:customStyle="1" w:styleId="CM3">
    <w:name w:val="CM3"/>
    <w:basedOn w:val="Default"/>
    <w:next w:val="Default"/>
    <w:uiPriority w:val="99"/>
    <w:rsid w:val="0099587B"/>
    <w:rPr>
      <w:rFonts w:ascii="EUAlbertina" w:eastAsia="Times New Roman" w:hAnsi="EUAlbertina"/>
      <w:color w:val="auto"/>
      <w:lang w:eastAsia="en-GB"/>
    </w:rPr>
  </w:style>
  <w:style w:type="paragraph" w:customStyle="1" w:styleId="CM4">
    <w:name w:val="CM4"/>
    <w:basedOn w:val="Default"/>
    <w:next w:val="Default"/>
    <w:uiPriority w:val="99"/>
    <w:rsid w:val="0099587B"/>
    <w:rPr>
      <w:rFonts w:ascii="EUAlbertina" w:eastAsia="Times New Roman" w:hAnsi="EUAlbertina"/>
      <w:color w:val="auto"/>
      <w:lang w:eastAsia="en-GB"/>
    </w:rPr>
  </w:style>
  <w:style w:type="character" w:customStyle="1" w:styleId="stylecourrierlectronique18">
    <w:name w:val="stylecourrierlectronique18"/>
    <w:rsid w:val="00AC759C"/>
    <w:rPr>
      <w:rFonts w:ascii="Arial" w:hAnsi="Arial" w:cs="Arial"/>
      <w:color w:val="000000"/>
      <w:sz w:val="20"/>
      <w:szCs w:val="20"/>
    </w:rPr>
  </w:style>
  <w:style w:type="paragraph" w:styleId="11">
    <w:name w:val="toc 1"/>
    <w:basedOn w:val="a"/>
    <w:next w:val="a"/>
    <w:autoRedefine/>
    <w:uiPriority w:val="39"/>
    <w:rsid w:val="00040577"/>
    <w:pPr>
      <w:tabs>
        <w:tab w:val="left" w:pos="1760"/>
        <w:tab w:val="right" w:leader="dot" w:pos="9781"/>
      </w:tabs>
      <w:spacing w:before="240" w:after="120"/>
    </w:pPr>
    <w:rPr>
      <w:rFonts w:ascii="Verdana" w:hAnsi="Verdana"/>
      <w:b/>
      <w:bCs/>
      <w:noProof/>
    </w:rPr>
  </w:style>
  <w:style w:type="paragraph" w:styleId="21">
    <w:name w:val="toc 2"/>
    <w:basedOn w:val="a"/>
    <w:next w:val="a"/>
    <w:autoRedefine/>
    <w:uiPriority w:val="39"/>
    <w:rsid w:val="00EA4B30"/>
    <w:pPr>
      <w:tabs>
        <w:tab w:val="left" w:pos="1540"/>
        <w:tab w:val="right" w:leader="dot" w:pos="9639"/>
      </w:tabs>
      <w:ind w:left="709" w:right="57"/>
    </w:pPr>
    <w:rPr>
      <w:rFonts w:ascii="Verdana" w:hAnsi="Verdana"/>
      <w:lang w:eastAsia="de-DE"/>
    </w:rPr>
  </w:style>
  <w:style w:type="paragraph" w:styleId="35">
    <w:name w:val="toc 3"/>
    <w:basedOn w:val="a"/>
    <w:next w:val="a"/>
    <w:autoRedefine/>
    <w:uiPriority w:val="39"/>
    <w:rsid w:val="00AC759C"/>
    <w:pPr>
      <w:ind w:left="480"/>
    </w:pPr>
    <w:rPr>
      <w:rFonts w:ascii="Verdana" w:hAnsi="Verdana"/>
      <w:sz w:val="22"/>
      <w:szCs w:val="22"/>
    </w:rPr>
  </w:style>
  <w:style w:type="paragraph" w:customStyle="1" w:styleId="Style1">
    <w:name w:val="Style1"/>
    <w:basedOn w:val="a"/>
    <w:uiPriority w:val="99"/>
    <w:rsid w:val="00A720B1"/>
    <w:pPr>
      <w:spacing w:after="240"/>
    </w:pPr>
    <w:rPr>
      <w:szCs w:val="20"/>
      <w:lang w:eastAsia="ko-KR"/>
    </w:rPr>
  </w:style>
  <w:style w:type="paragraph" w:styleId="afb">
    <w:name w:val="Body Text Indent"/>
    <w:basedOn w:val="a"/>
    <w:link w:val="afc"/>
    <w:uiPriority w:val="99"/>
    <w:unhideWhenUsed/>
    <w:rsid w:val="00A720B1"/>
    <w:pPr>
      <w:spacing w:after="120"/>
      <w:ind w:left="283"/>
    </w:pPr>
  </w:style>
  <w:style w:type="character" w:customStyle="1" w:styleId="afc">
    <w:name w:val="Основен текст с отстъп Знак"/>
    <w:link w:val="afb"/>
    <w:uiPriority w:val="99"/>
    <w:rsid w:val="00A720B1"/>
    <w:rPr>
      <w:rFonts w:ascii="Times New Roman" w:eastAsia="Times New Roman" w:hAnsi="Times New Roman" w:cs="Times New Roman"/>
      <w:sz w:val="24"/>
      <w:szCs w:val="24"/>
      <w:lang w:eastAsia="fr-FR"/>
    </w:rPr>
  </w:style>
  <w:style w:type="paragraph" w:styleId="22">
    <w:name w:val="Body Text Indent 2"/>
    <w:basedOn w:val="a"/>
    <w:link w:val="23"/>
    <w:uiPriority w:val="99"/>
    <w:semiHidden/>
    <w:unhideWhenUsed/>
    <w:rsid w:val="00A720B1"/>
    <w:pPr>
      <w:spacing w:after="120" w:line="480" w:lineRule="auto"/>
      <w:ind w:left="283"/>
    </w:pPr>
  </w:style>
  <w:style w:type="character" w:customStyle="1" w:styleId="23">
    <w:name w:val="Основен текст с отстъп 2 Знак"/>
    <w:link w:val="22"/>
    <w:uiPriority w:val="99"/>
    <w:semiHidden/>
    <w:rsid w:val="00A720B1"/>
    <w:rPr>
      <w:rFonts w:ascii="Times New Roman" w:eastAsia="Times New Roman" w:hAnsi="Times New Roman" w:cs="Times New Roman"/>
      <w:sz w:val="24"/>
      <w:szCs w:val="24"/>
      <w:lang w:eastAsia="fr-FR"/>
    </w:rPr>
  </w:style>
  <w:style w:type="paragraph" w:customStyle="1" w:styleId="En-ttedetabledesmatires1">
    <w:name w:val="En-tête de table des matières1"/>
    <w:basedOn w:val="1"/>
    <w:next w:val="a"/>
    <w:uiPriority w:val="39"/>
    <w:semiHidden/>
    <w:unhideWhenUsed/>
    <w:qFormat/>
    <w:rsid w:val="00A532C7"/>
    <w:pPr>
      <w:keepLines/>
      <w:tabs>
        <w:tab w:val="clear" w:pos="360"/>
      </w:tabs>
      <w:spacing w:before="480" w:after="0" w:line="276" w:lineRule="auto"/>
      <w:ind w:left="0" w:firstLine="0"/>
      <w:jc w:val="left"/>
      <w:outlineLvl w:val="9"/>
    </w:pPr>
    <w:rPr>
      <w:rFonts w:ascii="Cambria" w:eastAsia="Times New Roman" w:hAnsi="Cambria"/>
      <w:smallCaps w:val="0"/>
      <w:color w:val="365F91"/>
      <w:sz w:val="28"/>
      <w:szCs w:val="28"/>
      <w:lang w:val="fr-FR" w:eastAsia="en-US"/>
    </w:rPr>
  </w:style>
  <w:style w:type="paragraph" w:customStyle="1" w:styleId="bodytext">
    <w:name w:val="bodytext"/>
    <w:basedOn w:val="a"/>
    <w:rsid w:val="009210ED"/>
    <w:pPr>
      <w:spacing w:before="100" w:beforeAutospacing="1" w:after="100" w:afterAutospacing="1"/>
    </w:pPr>
    <w:rPr>
      <w:lang w:eastAsia="en-GB"/>
    </w:rPr>
  </w:style>
  <w:style w:type="paragraph" w:styleId="afd">
    <w:name w:val="List Paragraph"/>
    <w:basedOn w:val="a"/>
    <w:uiPriority w:val="34"/>
    <w:qFormat/>
    <w:rsid w:val="00A95319"/>
    <w:pPr>
      <w:spacing w:after="200" w:line="276" w:lineRule="auto"/>
      <w:ind w:left="720"/>
      <w:contextualSpacing/>
    </w:pPr>
    <w:rPr>
      <w:rFonts w:ascii="Calibri" w:eastAsia="Calibri" w:hAnsi="Calibri"/>
      <w:sz w:val="22"/>
      <w:szCs w:val="22"/>
      <w:lang w:eastAsia="en-US"/>
    </w:rPr>
  </w:style>
  <w:style w:type="paragraph" w:customStyle="1" w:styleId="StyleTitre211ptAprs9ptInterligneMultiple115li">
    <w:name w:val="Style Titre 2 + 11 pt Après : 9 pt Interligne : Multiple 115 li"/>
    <w:basedOn w:val="afe"/>
    <w:rsid w:val="00627420"/>
    <w:pPr>
      <w:spacing w:after="180" w:line="276" w:lineRule="auto"/>
    </w:pPr>
    <w:rPr>
      <w:sz w:val="22"/>
      <w:szCs w:val="20"/>
    </w:rPr>
  </w:style>
  <w:style w:type="paragraph" w:styleId="afe">
    <w:name w:val="Plain Text"/>
    <w:basedOn w:val="a"/>
    <w:link w:val="aff"/>
    <w:uiPriority w:val="99"/>
    <w:semiHidden/>
    <w:unhideWhenUsed/>
    <w:rsid w:val="00627420"/>
    <w:rPr>
      <w:rFonts w:ascii="Consolas" w:hAnsi="Consolas"/>
      <w:sz w:val="21"/>
      <w:szCs w:val="21"/>
    </w:rPr>
  </w:style>
  <w:style w:type="character" w:customStyle="1" w:styleId="aff">
    <w:name w:val="Обикновен текст Знак"/>
    <w:basedOn w:val="a0"/>
    <w:link w:val="afe"/>
    <w:uiPriority w:val="99"/>
    <w:semiHidden/>
    <w:rsid w:val="00627420"/>
    <w:rPr>
      <w:rFonts w:ascii="Consolas" w:eastAsia="Times New Roman" w:hAnsi="Consola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8979">
      <w:bodyDiv w:val="1"/>
      <w:marLeft w:val="0"/>
      <w:marRight w:val="0"/>
      <w:marTop w:val="0"/>
      <w:marBottom w:val="0"/>
      <w:divBdr>
        <w:top w:val="none" w:sz="0" w:space="0" w:color="auto"/>
        <w:left w:val="none" w:sz="0" w:space="0" w:color="auto"/>
        <w:bottom w:val="none" w:sz="0" w:space="0" w:color="auto"/>
        <w:right w:val="none" w:sz="0" w:space="0" w:color="auto"/>
      </w:divBdr>
    </w:div>
    <w:div w:id="1577128793">
      <w:bodyDiv w:val="1"/>
      <w:marLeft w:val="0"/>
      <w:marRight w:val="0"/>
      <w:marTop w:val="0"/>
      <w:marBottom w:val="0"/>
      <w:divBdr>
        <w:top w:val="none" w:sz="0" w:space="0" w:color="auto"/>
        <w:left w:val="none" w:sz="0" w:space="0" w:color="auto"/>
        <w:bottom w:val="none" w:sz="0" w:space="0" w:color="auto"/>
        <w:right w:val="none" w:sz="0" w:space="0" w:color="auto"/>
      </w:divBdr>
    </w:div>
    <w:div w:id="1857502507">
      <w:bodyDiv w:val="1"/>
      <w:marLeft w:val="0"/>
      <w:marRight w:val="0"/>
      <w:marTop w:val="0"/>
      <w:marBottom w:val="0"/>
      <w:divBdr>
        <w:top w:val="none" w:sz="0" w:space="0" w:color="auto"/>
        <w:left w:val="none" w:sz="0" w:space="0" w:color="auto"/>
        <w:bottom w:val="none" w:sz="0" w:space="0" w:color="auto"/>
        <w:right w:val="none" w:sz="0" w:space="0" w:color="auto"/>
      </w:divBdr>
      <w:divsChild>
        <w:div w:id="353263193">
          <w:marLeft w:val="0"/>
          <w:marRight w:val="0"/>
          <w:marTop w:val="0"/>
          <w:marBottom w:val="0"/>
          <w:divBdr>
            <w:top w:val="none" w:sz="0" w:space="0" w:color="auto"/>
            <w:left w:val="none" w:sz="0" w:space="0" w:color="auto"/>
            <w:bottom w:val="none" w:sz="0" w:space="0" w:color="auto"/>
            <w:right w:val="none" w:sz="0" w:space="0" w:color="auto"/>
          </w:divBdr>
        </w:div>
        <w:div w:id="583030394">
          <w:marLeft w:val="0"/>
          <w:marRight w:val="0"/>
          <w:marTop w:val="0"/>
          <w:marBottom w:val="0"/>
          <w:divBdr>
            <w:top w:val="none" w:sz="0" w:space="0" w:color="auto"/>
            <w:left w:val="none" w:sz="0" w:space="0" w:color="auto"/>
            <w:bottom w:val="none" w:sz="0" w:space="0" w:color="auto"/>
            <w:right w:val="none" w:sz="0" w:space="0" w:color="auto"/>
          </w:divBdr>
        </w:div>
        <w:div w:id="801968482">
          <w:marLeft w:val="0"/>
          <w:marRight w:val="0"/>
          <w:marTop w:val="0"/>
          <w:marBottom w:val="0"/>
          <w:divBdr>
            <w:top w:val="none" w:sz="0" w:space="0" w:color="auto"/>
            <w:left w:val="none" w:sz="0" w:space="0" w:color="auto"/>
            <w:bottom w:val="none" w:sz="0" w:space="0" w:color="auto"/>
            <w:right w:val="none" w:sz="0" w:space="0" w:color="auto"/>
          </w:divBdr>
        </w:div>
        <w:div w:id="1010836202">
          <w:marLeft w:val="0"/>
          <w:marRight w:val="0"/>
          <w:marTop w:val="0"/>
          <w:marBottom w:val="0"/>
          <w:divBdr>
            <w:top w:val="none" w:sz="0" w:space="0" w:color="auto"/>
            <w:left w:val="none" w:sz="0" w:space="0" w:color="auto"/>
            <w:bottom w:val="none" w:sz="0" w:space="0" w:color="auto"/>
            <w:right w:val="none" w:sz="0" w:space="0" w:color="auto"/>
          </w:divBdr>
        </w:div>
        <w:div w:id="1279489890">
          <w:marLeft w:val="0"/>
          <w:marRight w:val="0"/>
          <w:marTop w:val="0"/>
          <w:marBottom w:val="0"/>
          <w:divBdr>
            <w:top w:val="none" w:sz="0" w:space="0" w:color="auto"/>
            <w:left w:val="none" w:sz="0" w:space="0" w:color="auto"/>
            <w:bottom w:val="none" w:sz="0" w:space="0" w:color="auto"/>
            <w:right w:val="none" w:sz="0" w:space="0" w:color="auto"/>
          </w:divBdr>
        </w:div>
        <w:div w:id="1758281330">
          <w:marLeft w:val="0"/>
          <w:marRight w:val="0"/>
          <w:marTop w:val="0"/>
          <w:marBottom w:val="0"/>
          <w:divBdr>
            <w:top w:val="none" w:sz="0" w:space="0" w:color="auto"/>
            <w:left w:val="none" w:sz="0" w:space="0" w:color="auto"/>
            <w:bottom w:val="none" w:sz="0" w:space="0" w:color="auto"/>
            <w:right w:val="none" w:sz="0" w:space="0" w:color="auto"/>
          </w:divBdr>
        </w:div>
        <w:div w:id="1926180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research/innovation-union/index_en.cfm" TargetMode="External"/><Relationship Id="rId18" Type="http://schemas.openxmlformats.org/officeDocument/2006/relationships/hyperlink" Target="http://ec.europa.eu/europe2020/europe-2020-in-a-nutshell/priorities/inclusive-growth/index_en.ht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yperlink" Target="http://ec.europa.eu/information_society/digital-agenda/index_en.htm" TargetMode="External"/><Relationship Id="rId17" Type="http://schemas.openxmlformats.org/officeDocument/2006/relationships/hyperlink" Target="http://ec.europa.eu/enterprise/policies/industrial-competitiveness/industrial-policy/index_en.htm"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c.europa.eu/resource-efficient-europe/index_en.htm" TargetMode="External"/><Relationship Id="rId20" Type="http://schemas.openxmlformats.org/officeDocument/2006/relationships/hyperlink" Target="http://ec.europa.eu/social/main.jsp?catId=961&amp;langId=en" TargetMode="External"/><Relationship Id="rId29" Type="http://schemas.openxmlformats.org/officeDocument/2006/relationships/hyperlink" Target="http://eur-lex.europa.eu/LexUriServ/LexUriServ.do?uri=CONSLEG:2006R1828:20091013:E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urope2020/europe-2020-in-a-nutshell/priorities/smart-growth/index_en.htm"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c.europa.eu/europe2020/europe-2020-in-a-nutshell/priorities/sustainable-growth/index_en.htm" TargetMode="External"/><Relationship Id="rId23" Type="http://schemas.openxmlformats.org/officeDocument/2006/relationships/image" Target="media/image5.png"/><Relationship Id="rId28" Type="http://schemas.openxmlformats.org/officeDocument/2006/relationships/hyperlink" Target="http://eur-lex.europa.eu/LexUriServ/LexUriServ.do?uri=CONSLEG:2006R1828:20091013:EN:HTML" TargetMode="External"/><Relationship Id="rId10" Type="http://schemas.openxmlformats.org/officeDocument/2006/relationships/image" Target="media/image2.emf"/><Relationship Id="rId19" Type="http://schemas.openxmlformats.org/officeDocument/2006/relationships/hyperlink" Target="http://ec.europa.eu/social/main.jsp?langId=en&amp;catId=958" TargetMode="External"/><Relationship Id="rId31"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uropa.eu/youthonthemove/index_en.htm" TargetMode="External"/><Relationship Id="rId22" Type="http://schemas.openxmlformats.org/officeDocument/2006/relationships/image" Target="media/image4.png"/><Relationship Id="rId27" Type="http://schemas.openxmlformats.org/officeDocument/2006/relationships/footer" Target="footer4.xml"/><Relationship Id="rId30"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urbact.eu/fileadmin/general_library/19765_Urbact_WS1_SHRINKING_low_FINAL.pdf" TargetMode="External"/><Relationship Id="rId13" Type="http://schemas.openxmlformats.org/officeDocument/2006/relationships/hyperlink" Target="http://ec.europa.eu/regional_policy/archive/policy/future/barca_en.htm" TargetMode="External"/><Relationship Id="rId3" Type="http://schemas.openxmlformats.org/officeDocument/2006/relationships/hyperlink" Target="http://ec.europa.eu/regional_policy/what/future/index_en.cfm" TargetMode="External"/><Relationship Id="rId7" Type="http://schemas.openxmlformats.org/officeDocument/2006/relationships/hyperlink" Target="http://ec.europa.eu/regional_policy/sources/docgener/studies/pdf/citiesoftomorrow/citiesoftomorrow_final" TargetMode="External"/><Relationship Id="rId12" Type="http://schemas.openxmlformats.org/officeDocument/2006/relationships/hyperlink" Target="http://urbact.eu/fileadmin/general_library/19765_Urbact_WS3_YOUTH_low_Final.pdf" TargetMode="External"/><Relationship Id="rId2" Type="http://schemas.openxmlformats.org/officeDocument/2006/relationships/hyperlink" Target="http://ec.europa.eu/regional_policy/what/future/index_en.cfm" TargetMode="External"/><Relationship Id="rId16" Type="http://schemas.openxmlformats.org/officeDocument/2006/relationships/hyperlink" Target="http://ec.europa.eu/regional_policy/what/future/index_en.cfm" TargetMode="External"/><Relationship Id="rId1" Type="http://schemas.openxmlformats.org/officeDocument/2006/relationships/hyperlink" Target="http://ec.europa.eu/regional_policy/what/future/index_en.cfm" TargetMode="External"/><Relationship Id="rId6" Type="http://schemas.openxmlformats.org/officeDocument/2006/relationships/hyperlink" Target="http://ec.europa.eu/regional_policy/sources/docgener/studies/pdf/citiesoftomorrow/citiesoftomorrow_final" TargetMode="External"/><Relationship Id="rId11" Type="http://schemas.openxmlformats.org/officeDocument/2006/relationships/hyperlink" Target="http://ec.europa.eu/regional_policy/sources/docgener/studies/pdf/citiesoftomorrow/citiesoftomorrow_final" TargetMode="External"/><Relationship Id="rId5" Type="http://schemas.openxmlformats.org/officeDocument/2006/relationships/hyperlink" Target="http://ec.europa.eu/regional_policy/sources/docgener/studies/pdf/citiesoftomorrow/citiesoftomorrow_final" TargetMode="External"/><Relationship Id="rId15" Type="http://schemas.openxmlformats.org/officeDocument/2006/relationships/hyperlink" Target="http://ec.europa.eu/regional_policy/what/future/index_en.cfm" TargetMode="External"/><Relationship Id="rId10" Type="http://schemas.openxmlformats.org/officeDocument/2006/relationships/hyperlink" Target="http://ec.europa.eu/regional_policy/sources/docgener/studies/pdf/urban/stateofcities_2010.pdf" TargetMode="External"/><Relationship Id="rId4" Type="http://schemas.openxmlformats.org/officeDocument/2006/relationships/hyperlink" Target="http://ec.europa.eu/regional_policy/sources/docgener/studies/pdf/citiesoftomorrow/citiesoftomorrow_final" TargetMode="External"/><Relationship Id="rId9" Type="http://schemas.openxmlformats.org/officeDocument/2006/relationships/hyperlink" Target="http://www.berlin-institut.org/online-handbuchdemografie/bevoelkerungsdynamik/regionale-dynamik/europa.html" TargetMode="External"/><Relationship Id="rId14" Type="http://schemas.openxmlformats.org/officeDocument/2006/relationships/hyperlink" Target="http://urbact.eu/fileadmin/general_library/URBACT_II_Final_Report_3_Jun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2498D-F2EE-4F39-8369-276D048A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26708</Words>
  <Characters>152238</Characters>
  <Application>Microsoft Office Word</Application>
  <DocSecurity>0</DocSecurity>
  <Lines>1268</Lines>
  <Paragraphs>357</Paragraphs>
  <ScaleCrop>false</ScaleCrop>
  <HeadingPairs>
    <vt:vector size="6" baseType="variant">
      <vt:variant>
        <vt:lpstr>Заглавие</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MSS</Company>
  <LinksUpToDate>false</LinksUpToDate>
  <CharactersWithSpaces>178589</CharactersWithSpaces>
  <SharedDoc>false</SharedDoc>
  <HLinks>
    <vt:vector size="414" baseType="variant">
      <vt:variant>
        <vt:i4>3145830</vt:i4>
      </vt:variant>
      <vt:variant>
        <vt:i4>291</vt:i4>
      </vt:variant>
      <vt:variant>
        <vt:i4>0</vt:i4>
      </vt:variant>
      <vt:variant>
        <vt:i4>5</vt:i4>
      </vt:variant>
      <vt:variant>
        <vt:lpwstr>http://eur-lex.europa.eu/LexUriServ/LexUriServ.do?uri=CONSLEG:2006R1828:20091013:EN:HTML</vt:lpwstr>
      </vt:variant>
      <vt:variant>
        <vt:lpwstr>E0078#E0078</vt:lpwstr>
      </vt:variant>
      <vt:variant>
        <vt:i4>3145831</vt:i4>
      </vt:variant>
      <vt:variant>
        <vt:i4>288</vt:i4>
      </vt:variant>
      <vt:variant>
        <vt:i4>0</vt:i4>
      </vt:variant>
      <vt:variant>
        <vt:i4>5</vt:i4>
      </vt:variant>
      <vt:variant>
        <vt:lpwstr>http://eur-lex.europa.eu/LexUriServ/LexUriServ.do?uri=CONSLEG:2006R1828:20091013:EN:HTML</vt:lpwstr>
      </vt:variant>
      <vt:variant>
        <vt:lpwstr>E0079#E0079</vt:lpwstr>
      </vt:variant>
      <vt:variant>
        <vt:i4>8323120</vt:i4>
      </vt:variant>
      <vt:variant>
        <vt:i4>276</vt:i4>
      </vt:variant>
      <vt:variant>
        <vt:i4>0</vt:i4>
      </vt:variant>
      <vt:variant>
        <vt:i4>5</vt:i4>
      </vt:variant>
      <vt:variant>
        <vt:lpwstr>http://ec.europa.eu/social/main.jsp?catId=961&amp;langId=en</vt:lpwstr>
      </vt:variant>
      <vt:variant>
        <vt:lpwstr/>
      </vt:variant>
      <vt:variant>
        <vt:i4>8126575</vt:i4>
      </vt:variant>
      <vt:variant>
        <vt:i4>273</vt:i4>
      </vt:variant>
      <vt:variant>
        <vt:i4>0</vt:i4>
      </vt:variant>
      <vt:variant>
        <vt:i4>5</vt:i4>
      </vt:variant>
      <vt:variant>
        <vt:lpwstr>http://ec.europa.eu/social/main.jsp?langId=en&amp;catId=958</vt:lpwstr>
      </vt:variant>
      <vt:variant>
        <vt:lpwstr/>
      </vt:variant>
      <vt:variant>
        <vt:i4>5898350</vt:i4>
      </vt:variant>
      <vt:variant>
        <vt:i4>270</vt:i4>
      </vt:variant>
      <vt:variant>
        <vt:i4>0</vt:i4>
      </vt:variant>
      <vt:variant>
        <vt:i4>5</vt:i4>
      </vt:variant>
      <vt:variant>
        <vt:lpwstr>http://ec.europa.eu/europe2020/europe-2020-in-a-nutshell/priorities/inclusive-growth/index_en.htm</vt:lpwstr>
      </vt:variant>
      <vt:variant>
        <vt:lpwstr/>
      </vt:variant>
      <vt:variant>
        <vt:i4>1310836</vt:i4>
      </vt:variant>
      <vt:variant>
        <vt:i4>267</vt:i4>
      </vt:variant>
      <vt:variant>
        <vt:i4>0</vt:i4>
      </vt:variant>
      <vt:variant>
        <vt:i4>5</vt:i4>
      </vt:variant>
      <vt:variant>
        <vt:lpwstr>http://ec.europa.eu/enterprise/policies/industrial-competitiveness/industrial-policy/index_en.htm</vt:lpwstr>
      </vt:variant>
      <vt:variant>
        <vt:lpwstr/>
      </vt:variant>
      <vt:variant>
        <vt:i4>4849788</vt:i4>
      </vt:variant>
      <vt:variant>
        <vt:i4>264</vt:i4>
      </vt:variant>
      <vt:variant>
        <vt:i4>0</vt:i4>
      </vt:variant>
      <vt:variant>
        <vt:i4>5</vt:i4>
      </vt:variant>
      <vt:variant>
        <vt:lpwstr>http://ec.europa.eu/resource-efficient-europe/index_en.htm</vt:lpwstr>
      </vt:variant>
      <vt:variant>
        <vt:lpwstr/>
      </vt:variant>
      <vt:variant>
        <vt:i4>3670037</vt:i4>
      </vt:variant>
      <vt:variant>
        <vt:i4>261</vt:i4>
      </vt:variant>
      <vt:variant>
        <vt:i4>0</vt:i4>
      </vt:variant>
      <vt:variant>
        <vt:i4>5</vt:i4>
      </vt:variant>
      <vt:variant>
        <vt:lpwstr>http://ec.europa.eu/europe2020/europe-2020-in-a-nutshell/priorities/sustainable-growth/index_en.htm</vt:lpwstr>
      </vt:variant>
      <vt:variant>
        <vt:lpwstr/>
      </vt:variant>
      <vt:variant>
        <vt:i4>8257565</vt:i4>
      </vt:variant>
      <vt:variant>
        <vt:i4>258</vt:i4>
      </vt:variant>
      <vt:variant>
        <vt:i4>0</vt:i4>
      </vt:variant>
      <vt:variant>
        <vt:i4>5</vt:i4>
      </vt:variant>
      <vt:variant>
        <vt:lpwstr>http://europa.eu/youthonthemove/index_en.htm</vt:lpwstr>
      </vt:variant>
      <vt:variant>
        <vt:lpwstr/>
      </vt:variant>
      <vt:variant>
        <vt:i4>1441847</vt:i4>
      </vt:variant>
      <vt:variant>
        <vt:i4>255</vt:i4>
      </vt:variant>
      <vt:variant>
        <vt:i4>0</vt:i4>
      </vt:variant>
      <vt:variant>
        <vt:i4>5</vt:i4>
      </vt:variant>
      <vt:variant>
        <vt:lpwstr>http://ec.europa.eu/research/innovation-union/index_en.cfm</vt:lpwstr>
      </vt:variant>
      <vt:variant>
        <vt:lpwstr/>
      </vt:variant>
      <vt:variant>
        <vt:i4>4849735</vt:i4>
      </vt:variant>
      <vt:variant>
        <vt:i4>252</vt:i4>
      </vt:variant>
      <vt:variant>
        <vt:i4>0</vt:i4>
      </vt:variant>
      <vt:variant>
        <vt:i4>5</vt:i4>
      </vt:variant>
      <vt:variant>
        <vt:lpwstr>http://ec.europa.eu/information_society/digital-agenda/index_en.htm</vt:lpwstr>
      </vt:variant>
      <vt:variant>
        <vt:lpwstr/>
      </vt:variant>
      <vt:variant>
        <vt:i4>4325499</vt:i4>
      </vt:variant>
      <vt:variant>
        <vt:i4>249</vt:i4>
      </vt:variant>
      <vt:variant>
        <vt:i4>0</vt:i4>
      </vt:variant>
      <vt:variant>
        <vt:i4>5</vt:i4>
      </vt:variant>
      <vt:variant>
        <vt:lpwstr>http://ec.europa.eu/europe2020/europe-2020-in-a-nutshell/priorities/smart-growth/index_en.htm</vt:lpwstr>
      </vt:variant>
      <vt:variant>
        <vt:lpwstr/>
      </vt:variant>
      <vt:variant>
        <vt:i4>1507381</vt:i4>
      </vt:variant>
      <vt:variant>
        <vt:i4>242</vt:i4>
      </vt:variant>
      <vt:variant>
        <vt:i4>0</vt:i4>
      </vt:variant>
      <vt:variant>
        <vt:i4>5</vt:i4>
      </vt:variant>
      <vt:variant>
        <vt:lpwstr/>
      </vt:variant>
      <vt:variant>
        <vt:lpwstr>_Toc381008703</vt:lpwstr>
      </vt:variant>
      <vt:variant>
        <vt:i4>1507381</vt:i4>
      </vt:variant>
      <vt:variant>
        <vt:i4>236</vt:i4>
      </vt:variant>
      <vt:variant>
        <vt:i4>0</vt:i4>
      </vt:variant>
      <vt:variant>
        <vt:i4>5</vt:i4>
      </vt:variant>
      <vt:variant>
        <vt:lpwstr/>
      </vt:variant>
      <vt:variant>
        <vt:lpwstr>_Toc381008702</vt:lpwstr>
      </vt:variant>
      <vt:variant>
        <vt:i4>1507381</vt:i4>
      </vt:variant>
      <vt:variant>
        <vt:i4>230</vt:i4>
      </vt:variant>
      <vt:variant>
        <vt:i4>0</vt:i4>
      </vt:variant>
      <vt:variant>
        <vt:i4>5</vt:i4>
      </vt:variant>
      <vt:variant>
        <vt:lpwstr/>
      </vt:variant>
      <vt:variant>
        <vt:lpwstr>_Toc381008701</vt:lpwstr>
      </vt:variant>
      <vt:variant>
        <vt:i4>1507381</vt:i4>
      </vt:variant>
      <vt:variant>
        <vt:i4>224</vt:i4>
      </vt:variant>
      <vt:variant>
        <vt:i4>0</vt:i4>
      </vt:variant>
      <vt:variant>
        <vt:i4>5</vt:i4>
      </vt:variant>
      <vt:variant>
        <vt:lpwstr/>
      </vt:variant>
      <vt:variant>
        <vt:lpwstr>_Toc381008700</vt:lpwstr>
      </vt:variant>
      <vt:variant>
        <vt:i4>1966132</vt:i4>
      </vt:variant>
      <vt:variant>
        <vt:i4>218</vt:i4>
      </vt:variant>
      <vt:variant>
        <vt:i4>0</vt:i4>
      </vt:variant>
      <vt:variant>
        <vt:i4>5</vt:i4>
      </vt:variant>
      <vt:variant>
        <vt:lpwstr/>
      </vt:variant>
      <vt:variant>
        <vt:lpwstr>_Toc381008699</vt:lpwstr>
      </vt:variant>
      <vt:variant>
        <vt:i4>1966132</vt:i4>
      </vt:variant>
      <vt:variant>
        <vt:i4>212</vt:i4>
      </vt:variant>
      <vt:variant>
        <vt:i4>0</vt:i4>
      </vt:variant>
      <vt:variant>
        <vt:i4>5</vt:i4>
      </vt:variant>
      <vt:variant>
        <vt:lpwstr/>
      </vt:variant>
      <vt:variant>
        <vt:lpwstr>_Toc381008698</vt:lpwstr>
      </vt:variant>
      <vt:variant>
        <vt:i4>1966132</vt:i4>
      </vt:variant>
      <vt:variant>
        <vt:i4>206</vt:i4>
      </vt:variant>
      <vt:variant>
        <vt:i4>0</vt:i4>
      </vt:variant>
      <vt:variant>
        <vt:i4>5</vt:i4>
      </vt:variant>
      <vt:variant>
        <vt:lpwstr/>
      </vt:variant>
      <vt:variant>
        <vt:lpwstr>_Toc381008697</vt:lpwstr>
      </vt:variant>
      <vt:variant>
        <vt:i4>1966132</vt:i4>
      </vt:variant>
      <vt:variant>
        <vt:i4>200</vt:i4>
      </vt:variant>
      <vt:variant>
        <vt:i4>0</vt:i4>
      </vt:variant>
      <vt:variant>
        <vt:i4>5</vt:i4>
      </vt:variant>
      <vt:variant>
        <vt:lpwstr/>
      </vt:variant>
      <vt:variant>
        <vt:lpwstr>_Toc381008696</vt:lpwstr>
      </vt:variant>
      <vt:variant>
        <vt:i4>1966132</vt:i4>
      </vt:variant>
      <vt:variant>
        <vt:i4>194</vt:i4>
      </vt:variant>
      <vt:variant>
        <vt:i4>0</vt:i4>
      </vt:variant>
      <vt:variant>
        <vt:i4>5</vt:i4>
      </vt:variant>
      <vt:variant>
        <vt:lpwstr/>
      </vt:variant>
      <vt:variant>
        <vt:lpwstr>_Toc381008695</vt:lpwstr>
      </vt:variant>
      <vt:variant>
        <vt:i4>1966132</vt:i4>
      </vt:variant>
      <vt:variant>
        <vt:i4>188</vt:i4>
      </vt:variant>
      <vt:variant>
        <vt:i4>0</vt:i4>
      </vt:variant>
      <vt:variant>
        <vt:i4>5</vt:i4>
      </vt:variant>
      <vt:variant>
        <vt:lpwstr/>
      </vt:variant>
      <vt:variant>
        <vt:lpwstr>_Toc381008694</vt:lpwstr>
      </vt:variant>
      <vt:variant>
        <vt:i4>1966132</vt:i4>
      </vt:variant>
      <vt:variant>
        <vt:i4>182</vt:i4>
      </vt:variant>
      <vt:variant>
        <vt:i4>0</vt:i4>
      </vt:variant>
      <vt:variant>
        <vt:i4>5</vt:i4>
      </vt:variant>
      <vt:variant>
        <vt:lpwstr/>
      </vt:variant>
      <vt:variant>
        <vt:lpwstr>_Toc381008693</vt:lpwstr>
      </vt:variant>
      <vt:variant>
        <vt:i4>1966132</vt:i4>
      </vt:variant>
      <vt:variant>
        <vt:i4>176</vt:i4>
      </vt:variant>
      <vt:variant>
        <vt:i4>0</vt:i4>
      </vt:variant>
      <vt:variant>
        <vt:i4>5</vt:i4>
      </vt:variant>
      <vt:variant>
        <vt:lpwstr/>
      </vt:variant>
      <vt:variant>
        <vt:lpwstr>_Toc381008692</vt:lpwstr>
      </vt:variant>
      <vt:variant>
        <vt:i4>1966132</vt:i4>
      </vt:variant>
      <vt:variant>
        <vt:i4>170</vt:i4>
      </vt:variant>
      <vt:variant>
        <vt:i4>0</vt:i4>
      </vt:variant>
      <vt:variant>
        <vt:i4>5</vt:i4>
      </vt:variant>
      <vt:variant>
        <vt:lpwstr/>
      </vt:variant>
      <vt:variant>
        <vt:lpwstr>_Toc381008691</vt:lpwstr>
      </vt:variant>
      <vt:variant>
        <vt:i4>1966132</vt:i4>
      </vt:variant>
      <vt:variant>
        <vt:i4>164</vt:i4>
      </vt:variant>
      <vt:variant>
        <vt:i4>0</vt:i4>
      </vt:variant>
      <vt:variant>
        <vt:i4>5</vt:i4>
      </vt:variant>
      <vt:variant>
        <vt:lpwstr/>
      </vt:variant>
      <vt:variant>
        <vt:lpwstr>_Toc381008690</vt:lpwstr>
      </vt:variant>
      <vt:variant>
        <vt:i4>2031668</vt:i4>
      </vt:variant>
      <vt:variant>
        <vt:i4>158</vt:i4>
      </vt:variant>
      <vt:variant>
        <vt:i4>0</vt:i4>
      </vt:variant>
      <vt:variant>
        <vt:i4>5</vt:i4>
      </vt:variant>
      <vt:variant>
        <vt:lpwstr/>
      </vt:variant>
      <vt:variant>
        <vt:lpwstr>_Toc381008689</vt:lpwstr>
      </vt:variant>
      <vt:variant>
        <vt:i4>2031668</vt:i4>
      </vt:variant>
      <vt:variant>
        <vt:i4>152</vt:i4>
      </vt:variant>
      <vt:variant>
        <vt:i4>0</vt:i4>
      </vt:variant>
      <vt:variant>
        <vt:i4>5</vt:i4>
      </vt:variant>
      <vt:variant>
        <vt:lpwstr/>
      </vt:variant>
      <vt:variant>
        <vt:lpwstr>_Toc381008687</vt:lpwstr>
      </vt:variant>
      <vt:variant>
        <vt:i4>2031668</vt:i4>
      </vt:variant>
      <vt:variant>
        <vt:i4>146</vt:i4>
      </vt:variant>
      <vt:variant>
        <vt:i4>0</vt:i4>
      </vt:variant>
      <vt:variant>
        <vt:i4>5</vt:i4>
      </vt:variant>
      <vt:variant>
        <vt:lpwstr/>
      </vt:variant>
      <vt:variant>
        <vt:lpwstr>_Toc381008685</vt:lpwstr>
      </vt:variant>
      <vt:variant>
        <vt:i4>2031668</vt:i4>
      </vt:variant>
      <vt:variant>
        <vt:i4>140</vt:i4>
      </vt:variant>
      <vt:variant>
        <vt:i4>0</vt:i4>
      </vt:variant>
      <vt:variant>
        <vt:i4>5</vt:i4>
      </vt:variant>
      <vt:variant>
        <vt:lpwstr/>
      </vt:variant>
      <vt:variant>
        <vt:lpwstr>_Toc381008684</vt:lpwstr>
      </vt:variant>
      <vt:variant>
        <vt:i4>2031668</vt:i4>
      </vt:variant>
      <vt:variant>
        <vt:i4>134</vt:i4>
      </vt:variant>
      <vt:variant>
        <vt:i4>0</vt:i4>
      </vt:variant>
      <vt:variant>
        <vt:i4>5</vt:i4>
      </vt:variant>
      <vt:variant>
        <vt:lpwstr/>
      </vt:variant>
      <vt:variant>
        <vt:lpwstr>_Toc381008683</vt:lpwstr>
      </vt:variant>
      <vt:variant>
        <vt:i4>2031668</vt:i4>
      </vt:variant>
      <vt:variant>
        <vt:i4>128</vt:i4>
      </vt:variant>
      <vt:variant>
        <vt:i4>0</vt:i4>
      </vt:variant>
      <vt:variant>
        <vt:i4>5</vt:i4>
      </vt:variant>
      <vt:variant>
        <vt:lpwstr/>
      </vt:variant>
      <vt:variant>
        <vt:lpwstr>_Toc381008682</vt:lpwstr>
      </vt:variant>
      <vt:variant>
        <vt:i4>2031668</vt:i4>
      </vt:variant>
      <vt:variant>
        <vt:i4>122</vt:i4>
      </vt:variant>
      <vt:variant>
        <vt:i4>0</vt:i4>
      </vt:variant>
      <vt:variant>
        <vt:i4>5</vt:i4>
      </vt:variant>
      <vt:variant>
        <vt:lpwstr/>
      </vt:variant>
      <vt:variant>
        <vt:lpwstr>_Toc381008681</vt:lpwstr>
      </vt:variant>
      <vt:variant>
        <vt:i4>2031668</vt:i4>
      </vt:variant>
      <vt:variant>
        <vt:i4>116</vt:i4>
      </vt:variant>
      <vt:variant>
        <vt:i4>0</vt:i4>
      </vt:variant>
      <vt:variant>
        <vt:i4>5</vt:i4>
      </vt:variant>
      <vt:variant>
        <vt:lpwstr/>
      </vt:variant>
      <vt:variant>
        <vt:lpwstr>_Toc381008680</vt:lpwstr>
      </vt:variant>
      <vt:variant>
        <vt:i4>1048628</vt:i4>
      </vt:variant>
      <vt:variant>
        <vt:i4>110</vt:i4>
      </vt:variant>
      <vt:variant>
        <vt:i4>0</vt:i4>
      </vt:variant>
      <vt:variant>
        <vt:i4>5</vt:i4>
      </vt:variant>
      <vt:variant>
        <vt:lpwstr/>
      </vt:variant>
      <vt:variant>
        <vt:lpwstr>_Toc381008679</vt:lpwstr>
      </vt:variant>
      <vt:variant>
        <vt:i4>1048628</vt:i4>
      </vt:variant>
      <vt:variant>
        <vt:i4>104</vt:i4>
      </vt:variant>
      <vt:variant>
        <vt:i4>0</vt:i4>
      </vt:variant>
      <vt:variant>
        <vt:i4>5</vt:i4>
      </vt:variant>
      <vt:variant>
        <vt:lpwstr/>
      </vt:variant>
      <vt:variant>
        <vt:lpwstr>_Toc381008678</vt:lpwstr>
      </vt:variant>
      <vt:variant>
        <vt:i4>1048628</vt:i4>
      </vt:variant>
      <vt:variant>
        <vt:i4>98</vt:i4>
      </vt:variant>
      <vt:variant>
        <vt:i4>0</vt:i4>
      </vt:variant>
      <vt:variant>
        <vt:i4>5</vt:i4>
      </vt:variant>
      <vt:variant>
        <vt:lpwstr/>
      </vt:variant>
      <vt:variant>
        <vt:lpwstr>_Toc381008677</vt:lpwstr>
      </vt:variant>
      <vt:variant>
        <vt:i4>1048628</vt:i4>
      </vt:variant>
      <vt:variant>
        <vt:i4>92</vt:i4>
      </vt:variant>
      <vt:variant>
        <vt:i4>0</vt:i4>
      </vt:variant>
      <vt:variant>
        <vt:i4>5</vt:i4>
      </vt:variant>
      <vt:variant>
        <vt:lpwstr/>
      </vt:variant>
      <vt:variant>
        <vt:lpwstr>_Toc381008676</vt:lpwstr>
      </vt:variant>
      <vt:variant>
        <vt:i4>1048628</vt:i4>
      </vt:variant>
      <vt:variant>
        <vt:i4>86</vt:i4>
      </vt:variant>
      <vt:variant>
        <vt:i4>0</vt:i4>
      </vt:variant>
      <vt:variant>
        <vt:i4>5</vt:i4>
      </vt:variant>
      <vt:variant>
        <vt:lpwstr/>
      </vt:variant>
      <vt:variant>
        <vt:lpwstr>_Toc381008675</vt:lpwstr>
      </vt:variant>
      <vt:variant>
        <vt:i4>1048628</vt:i4>
      </vt:variant>
      <vt:variant>
        <vt:i4>80</vt:i4>
      </vt:variant>
      <vt:variant>
        <vt:i4>0</vt:i4>
      </vt:variant>
      <vt:variant>
        <vt:i4>5</vt:i4>
      </vt:variant>
      <vt:variant>
        <vt:lpwstr/>
      </vt:variant>
      <vt:variant>
        <vt:lpwstr>_Toc381008674</vt:lpwstr>
      </vt:variant>
      <vt:variant>
        <vt:i4>1048628</vt:i4>
      </vt:variant>
      <vt:variant>
        <vt:i4>74</vt:i4>
      </vt:variant>
      <vt:variant>
        <vt:i4>0</vt:i4>
      </vt:variant>
      <vt:variant>
        <vt:i4>5</vt:i4>
      </vt:variant>
      <vt:variant>
        <vt:lpwstr/>
      </vt:variant>
      <vt:variant>
        <vt:lpwstr>_Toc381008673</vt:lpwstr>
      </vt:variant>
      <vt:variant>
        <vt:i4>1048628</vt:i4>
      </vt:variant>
      <vt:variant>
        <vt:i4>68</vt:i4>
      </vt:variant>
      <vt:variant>
        <vt:i4>0</vt:i4>
      </vt:variant>
      <vt:variant>
        <vt:i4>5</vt:i4>
      </vt:variant>
      <vt:variant>
        <vt:lpwstr/>
      </vt:variant>
      <vt:variant>
        <vt:lpwstr>_Toc381008672</vt:lpwstr>
      </vt:variant>
      <vt:variant>
        <vt:i4>1048628</vt:i4>
      </vt:variant>
      <vt:variant>
        <vt:i4>62</vt:i4>
      </vt:variant>
      <vt:variant>
        <vt:i4>0</vt:i4>
      </vt:variant>
      <vt:variant>
        <vt:i4>5</vt:i4>
      </vt:variant>
      <vt:variant>
        <vt:lpwstr/>
      </vt:variant>
      <vt:variant>
        <vt:lpwstr>_Toc381008671</vt:lpwstr>
      </vt:variant>
      <vt:variant>
        <vt:i4>1048628</vt:i4>
      </vt:variant>
      <vt:variant>
        <vt:i4>56</vt:i4>
      </vt:variant>
      <vt:variant>
        <vt:i4>0</vt:i4>
      </vt:variant>
      <vt:variant>
        <vt:i4>5</vt:i4>
      </vt:variant>
      <vt:variant>
        <vt:lpwstr/>
      </vt:variant>
      <vt:variant>
        <vt:lpwstr>_Toc381008670</vt:lpwstr>
      </vt:variant>
      <vt:variant>
        <vt:i4>1114164</vt:i4>
      </vt:variant>
      <vt:variant>
        <vt:i4>50</vt:i4>
      </vt:variant>
      <vt:variant>
        <vt:i4>0</vt:i4>
      </vt:variant>
      <vt:variant>
        <vt:i4>5</vt:i4>
      </vt:variant>
      <vt:variant>
        <vt:lpwstr/>
      </vt:variant>
      <vt:variant>
        <vt:lpwstr>_Toc381008669</vt:lpwstr>
      </vt:variant>
      <vt:variant>
        <vt:i4>1114164</vt:i4>
      </vt:variant>
      <vt:variant>
        <vt:i4>44</vt:i4>
      </vt:variant>
      <vt:variant>
        <vt:i4>0</vt:i4>
      </vt:variant>
      <vt:variant>
        <vt:i4>5</vt:i4>
      </vt:variant>
      <vt:variant>
        <vt:lpwstr/>
      </vt:variant>
      <vt:variant>
        <vt:lpwstr>_Toc381008668</vt:lpwstr>
      </vt:variant>
      <vt:variant>
        <vt:i4>1114164</vt:i4>
      </vt:variant>
      <vt:variant>
        <vt:i4>38</vt:i4>
      </vt:variant>
      <vt:variant>
        <vt:i4>0</vt:i4>
      </vt:variant>
      <vt:variant>
        <vt:i4>5</vt:i4>
      </vt:variant>
      <vt:variant>
        <vt:lpwstr/>
      </vt:variant>
      <vt:variant>
        <vt:lpwstr>_Toc381008667</vt:lpwstr>
      </vt:variant>
      <vt:variant>
        <vt:i4>1114164</vt:i4>
      </vt:variant>
      <vt:variant>
        <vt:i4>32</vt:i4>
      </vt:variant>
      <vt:variant>
        <vt:i4>0</vt:i4>
      </vt:variant>
      <vt:variant>
        <vt:i4>5</vt:i4>
      </vt:variant>
      <vt:variant>
        <vt:lpwstr/>
      </vt:variant>
      <vt:variant>
        <vt:lpwstr>_Toc381008666</vt:lpwstr>
      </vt:variant>
      <vt:variant>
        <vt:i4>1114164</vt:i4>
      </vt:variant>
      <vt:variant>
        <vt:i4>26</vt:i4>
      </vt:variant>
      <vt:variant>
        <vt:i4>0</vt:i4>
      </vt:variant>
      <vt:variant>
        <vt:i4>5</vt:i4>
      </vt:variant>
      <vt:variant>
        <vt:lpwstr/>
      </vt:variant>
      <vt:variant>
        <vt:lpwstr>_Toc381008665</vt:lpwstr>
      </vt:variant>
      <vt:variant>
        <vt:i4>1114164</vt:i4>
      </vt:variant>
      <vt:variant>
        <vt:i4>20</vt:i4>
      </vt:variant>
      <vt:variant>
        <vt:i4>0</vt:i4>
      </vt:variant>
      <vt:variant>
        <vt:i4>5</vt:i4>
      </vt:variant>
      <vt:variant>
        <vt:lpwstr/>
      </vt:variant>
      <vt:variant>
        <vt:lpwstr>_Toc381008664</vt:lpwstr>
      </vt:variant>
      <vt:variant>
        <vt:i4>1114164</vt:i4>
      </vt:variant>
      <vt:variant>
        <vt:i4>14</vt:i4>
      </vt:variant>
      <vt:variant>
        <vt:i4>0</vt:i4>
      </vt:variant>
      <vt:variant>
        <vt:i4>5</vt:i4>
      </vt:variant>
      <vt:variant>
        <vt:lpwstr/>
      </vt:variant>
      <vt:variant>
        <vt:lpwstr>_Toc381008663</vt:lpwstr>
      </vt:variant>
      <vt:variant>
        <vt:i4>1114164</vt:i4>
      </vt:variant>
      <vt:variant>
        <vt:i4>8</vt:i4>
      </vt:variant>
      <vt:variant>
        <vt:i4>0</vt:i4>
      </vt:variant>
      <vt:variant>
        <vt:i4>5</vt:i4>
      </vt:variant>
      <vt:variant>
        <vt:lpwstr/>
      </vt:variant>
      <vt:variant>
        <vt:lpwstr>_Toc381008662</vt:lpwstr>
      </vt:variant>
      <vt:variant>
        <vt:i4>1114164</vt:i4>
      </vt:variant>
      <vt:variant>
        <vt:i4>2</vt:i4>
      </vt:variant>
      <vt:variant>
        <vt:i4>0</vt:i4>
      </vt:variant>
      <vt:variant>
        <vt:i4>5</vt:i4>
      </vt:variant>
      <vt:variant>
        <vt:lpwstr/>
      </vt:variant>
      <vt:variant>
        <vt:lpwstr>_Toc381008661</vt:lpwstr>
      </vt:variant>
      <vt:variant>
        <vt:i4>6815849</vt:i4>
      </vt:variant>
      <vt:variant>
        <vt:i4>45</vt:i4>
      </vt:variant>
      <vt:variant>
        <vt:i4>0</vt:i4>
      </vt:variant>
      <vt:variant>
        <vt:i4>5</vt:i4>
      </vt:variant>
      <vt:variant>
        <vt:lpwstr>http://ec.europa.eu/regional_policy/what/future/index_en.cfm</vt:lpwstr>
      </vt:variant>
      <vt:variant>
        <vt:lpwstr/>
      </vt:variant>
      <vt:variant>
        <vt:i4>6815849</vt:i4>
      </vt:variant>
      <vt:variant>
        <vt:i4>42</vt:i4>
      </vt:variant>
      <vt:variant>
        <vt:i4>0</vt:i4>
      </vt:variant>
      <vt:variant>
        <vt:i4>5</vt:i4>
      </vt:variant>
      <vt:variant>
        <vt:lpwstr>http://ec.europa.eu/regional_policy/what/future/index_en.cfm</vt:lpwstr>
      </vt:variant>
      <vt:variant>
        <vt:lpwstr/>
      </vt:variant>
      <vt:variant>
        <vt:i4>3997815</vt:i4>
      </vt:variant>
      <vt:variant>
        <vt:i4>39</vt:i4>
      </vt:variant>
      <vt:variant>
        <vt:i4>0</vt:i4>
      </vt:variant>
      <vt:variant>
        <vt:i4>5</vt:i4>
      </vt:variant>
      <vt:variant>
        <vt:lpwstr>http://urbact.eu/fileadmin/general_library/URBACT_II_Final_Report_3_June.pdf</vt:lpwstr>
      </vt:variant>
      <vt:variant>
        <vt:lpwstr/>
      </vt:variant>
      <vt:variant>
        <vt:i4>4849688</vt:i4>
      </vt:variant>
      <vt:variant>
        <vt:i4>36</vt:i4>
      </vt:variant>
      <vt:variant>
        <vt:i4>0</vt:i4>
      </vt:variant>
      <vt:variant>
        <vt:i4>5</vt:i4>
      </vt:variant>
      <vt:variant>
        <vt:lpwstr>http://ec.europa.eu/regional_policy/archive/policy/future/barca_en.htm</vt:lpwstr>
      </vt:variant>
      <vt:variant>
        <vt:lpwstr/>
      </vt:variant>
      <vt:variant>
        <vt:i4>7274602</vt:i4>
      </vt:variant>
      <vt:variant>
        <vt:i4>33</vt:i4>
      </vt:variant>
      <vt:variant>
        <vt:i4>0</vt:i4>
      </vt:variant>
      <vt:variant>
        <vt:i4>5</vt:i4>
      </vt:variant>
      <vt:variant>
        <vt:lpwstr>http://urbact.eu/fileadmin/general_library/19765_Urbact_WS3_YOUTH_low_Final.pdf</vt:lpwstr>
      </vt:variant>
      <vt:variant>
        <vt:lpwstr/>
      </vt:variant>
      <vt:variant>
        <vt:i4>262172</vt:i4>
      </vt:variant>
      <vt:variant>
        <vt:i4>30</vt:i4>
      </vt:variant>
      <vt:variant>
        <vt:i4>0</vt:i4>
      </vt:variant>
      <vt:variant>
        <vt:i4>5</vt:i4>
      </vt:variant>
      <vt:variant>
        <vt:lpwstr>http://ec.europa.eu/regional_policy/sources/docgener/studies/pdf/citiesoftomorrow/citiesoftomorrow_final</vt:lpwstr>
      </vt:variant>
      <vt:variant>
        <vt:lpwstr/>
      </vt:variant>
      <vt:variant>
        <vt:i4>1310796</vt:i4>
      </vt:variant>
      <vt:variant>
        <vt:i4>27</vt:i4>
      </vt:variant>
      <vt:variant>
        <vt:i4>0</vt:i4>
      </vt:variant>
      <vt:variant>
        <vt:i4>5</vt:i4>
      </vt:variant>
      <vt:variant>
        <vt:lpwstr>http://ec.europa.eu/regional_policy/sources/docgener/studies/pdf/urban/stateofcities_2010.pdf</vt:lpwstr>
      </vt:variant>
      <vt:variant>
        <vt:lpwstr/>
      </vt:variant>
      <vt:variant>
        <vt:i4>6684732</vt:i4>
      </vt:variant>
      <vt:variant>
        <vt:i4>24</vt:i4>
      </vt:variant>
      <vt:variant>
        <vt:i4>0</vt:i4>
      </vt:variant>
      <vt:variant>
        <vt:i4>5</vt:i4>
      </vt:variant>
      <vt:variant>
        <vt:lpwstr>http://www.berlin-institut.org/online-handbuchdemografie/bevoelkerungsdynamik/regionale-dynamik/europa.html</vt:lpwstr>
      </vt:variant>
      <vt:variant>
        <vt:lpwstr/>
      </vt:variant>
      <vt:variant>
        <vt:i4>7340141</vt:i4>
      </vt:variant>
      <vt:variant>
        <vt:i4>21</vt:i4>
      </vt:variant>
      <vt:variant>
        <vt:i4>0</vt:i4>
      </vt:variant>
      <vt:variant>
        <vt:i4>5</vt:i4>
      </vt:variant>
      <vt:variant>
        <vt:lpwstr>http://urbact.eu/fileadmin/general_library/19765_Urbact_WS1_SHRINKING_low_FINAL.pdf</vt:lpwstr>
      </vt:variant>
      <vt:variant>
        <vt:lpwstr/>
      </vt:variant>
      <vt:variant>
        <vt:i4>262172</vt:i4>
      </vt:variant>
      <vt:variant>
        <vt:i4>18</vt:i4>
      </vt:variant>
      <vt:variant>
        <vt:i4>0</vt:i4>
      </vt:variant>
      <vt:variant>
        <vt:i4>5</vt:i4>
      </vt:variant>
      <vt:variant>
        <vt:lpwstr>http://ec.europa.eu/regional_policy/sources/docgener/studies/pdf/citiesoftomorrow/citiesoftomorrow_final</vt:lpwstr>
      </vt:variant>
      <vt:variant>
        <vt:lpwstr/>
      </vt:variant>
      <vt:variant>
        <vt:i4>262172</vt:i4>
      </vt:variant>
      <vt:variant>
        <vt:i4>15</vt:i4>
      </vt:variant>
      <vt:variant>
        <vt:i4>0</vt:i4>
      </vt:variant>
      <vt:variant>
        <vt:i4>5</vt:i4>
      </vt:variant>
      <vt:variant>
        <vt:lpwstr>http://ec.europa.eu/regional_policy/sources/docgener/studies/pdf/citiesoftomorrow/citiesoftomorrow_final</vt:lpwstr>
      </vt:variant>
      <vt:variant>
        <vt:lpwstr/>
      </vt:variant>
      <vt:variant>
        <vt:i4>262172</vt:i4>
      </vt:variant>
      <vt:variant>
        <vt:i4>12</vt:i4>
      </vt:variant>
      <vt:variant>
        <vt:i4>0</vt:i4>
      </vt:variant>
      <vt:variant>
        <vt:i4>5</vt:i4>
      </vt:variant>
      <vt:variant>
        <vt:lpwstr>http://ec.europa.eu/regional_policy/sources/docgener/studies/pdf/citiesoftomorrow/citiesoftomorrow_final</vt:lpwstr>
      </vt:variant>
      <vt:variant>
        <vt:lpwstr/>
      </vt:variant>
      <vt:variant>
        <vt:i4>262172</vt:i4>
      </vt:variant>
      <vt:variant>
        <vt:i4>9</vt:i4>
      </vt:variant>
      <vt:variant>
        <vt:i4>0</vt:i4>
      </vt:variant>
      <vt:variant>
        <vt:i4>5</vt:i4>
      </vt:variant>
      <vt:variant>
        <vt:lpwstr>http://ec.europa.eu/regional_policy/sources/docgener/studies/pdf/citiesoftomorrow/citiesoftomorrow_final</vt:lpwstr>
      </vt:variant>
      <vt:variant>
        <vt:lpwstr/>
      </vt:variant>
      <vt:variant>
        <vt:i4>6815849</vt:i4>
      </vt:variant>
      <vt:variant>
        <vt:i4>6</vt:i4>
      </vt:variant>
      <vt:variant>
        <vt:i4>0</vt:i4>
      </vt:variant>
      <vt:variant>
        <vt:i4>5</vt:i4>
      </vt:variant>
      <vt:variant>
        <vt:lpwstr>http://ec.europa.eu/regional_policy/what/future/index_en.cfm</vt:lpwstr>
      </vt:variant>
      <vt:variant>
        <vt:lpwstr/>
      </vt:variant>
      <vt:variant>
        <vt:i4>6815849</vt:i4>
      </vt:variant>
      <vt:variant>
        <vt:i4>3</vt:i4>
      </vt:variant>
      <vt:variant>
        <vt:i4>0</vt:i4>
      </vt:variant>
      <vt:variant>
        <vt:i4>5</vt:i4>
      </vt:variant>
      <vt:variant>
        <vt:lpwstr>http://ec.europa.eu/regional_policy/what/future/index_en.cfm</vt:lpwstr>
      </vt:variant>
      <vt:variant>
        <vt:lpwstr/>
      </vt:variant>
      <vt:variant>
        <vt:i4>6815849</vt:i4>
      </vt:variant>
      <vt:variant>
        <vt:i4>0</vt:i4>
      </vt:variant>
      <vt:variant>
        <vt:i4>0</vt:i4>
      </vt:variant>
      <vt:variant>
        <vt:i4>5</vt:i4>
      </vt:variant>
      <vt:variant>
        <vt:lpwstr>http://ec.europa.eu/regional_policy/what/future/index_en.cfm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tpicquart</dc:creator>
  <cp:lastModifiedBy>Marius Mladenov</cp:lastModifiedBy>
  <cp:revision>2</cp:revision>
  <cp:lastPrinted>2014-04-07T14:28:00Z</cp:lastPrinted>
  <dcterms:created xsi:type="dcterms:W3CDTF">2014-04-09T10:54:00Z</dcterms:created>
  <dcterms:modified xsi:type="dcterms:W3CDTF">2014-04-09T10:54:00Z</dcterms:modified>
</cp:coreProperties>
</file>