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9" w:rsidRPr="00F84CD8" w:rsidRDefault="0009558A" w:rsidP="00C04A5E">
      <w:pPr>
        <w:rPr>
          <w:b/>
        </w:rPr>
      </w:pPr>
      <w:bookmarkStart w:id="0" w:name="_GoBack"/>
      <w:bookmarkEnd w:id="0"/>
      <w:r w:rsidRPr="00F84CD8">
        <w:rPr>
          <w:b/>
        </w:rPr>
        <w:t>Приложение към насоки, приети от Националния съвет по антикорупционни политики</w:t>
      </w:r>
      <w:r w:rsidR="006D5DA4">
        <w:rPr>
          <w:b/>
        </w:rPr>
        <w:tab/>
      </w:r>
      <w:r w:rsidR="006D5DA4">
        <w:rPr>
          <w:b/>
        </w:rPr>
        <w:tab/>
      </w:r>
    </w:p>
    <w:p w:rsidR="0009558A" w:rsidRDefault="0009558A">
      <w:pPr>
        <w:rPr>
          <w:b/>
        </w:rPr>
      </w:pPr>
    </w:p>
    <w:p w:rsidR="00B924E1" w:rsidRPr="00F84CD8" w:rsidRDefault="00B924E1">
      <w:pPr>
        <w:rPr>
          <w:b/>
        </w:rPr>
      </w:pPr>
    </w:p>
    <w:p w:rsidR="00F84CD8" w:rsidRPr="00323DCC" w:rsidRDefault="00F84CD8" w:rsidP="00F84CD8">
      <w:pPr>
        <w:ind w:left="10206"/>
        <w:rPr>
          <w:b/>
          <w:sz w:val="10"/>
          <w:szCs w:val="10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8"/>
        <w:gridCol w:w="1997"/>
        <w:gridCol w:w="993"/>
        <w:gridCol w:w="343"/>
        <w:gridCol w:w="509"/>
        <w:gridCol w:w="1309"/>
        <w:gridCol w:w="678"/>
        <w:gridCol w:w="732"/>
        <w:gridCol w:w="1035"/>
        <w:gridCol w:w="27"/>
        <w:gridCol w:w="747"/>
        <w:gridCol w:w="191"/>
        <w:gridCol w:w="216"/>
        <w:gridCol w:w="61"/>
        <w:gridCol w:w="983"/>
        <w:gridCol w:w="433"/>
        <w:gridCol w:w="1484"/>
        <w:gridCol w:w="184"/>
        <w:gridCol w:w="1843"/>
      </w:tblGrid>
      <w:tr w:rsidR="00C02205" w:rsidTr="007B4EAA">
        <w:trPr>
          <w:trHeight w:val="425"/>
        </w:trPr>
        <w:tc>
          <w:tcPr>
            <w:tcW w:w="15593" w:type="dxa"/>
            <w:gridSpan w:val="19"/>
            <w:shd w:val="clear" w:color="auto" w:fill="BDD6EE" w:themeFill="accent1" w:themeFillTint="66"/>
          </w:tcPr>
          <w:p w:rsidR="00C02205" w:rsidRDefault="00C04A5E" w:rsidP="00DA5A24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>
              <w:rPr>
                <w:b/>
              </w:rPr>
              <w:t xml:space="preserve"> – </w:t>
            </w:r>
            <w:r w:rsidR="00DA5A24">
              <w:rPr>
                <w:b/>
              </w:rPr>
              <w:t xml:space="preserve">годишен </w:t>
            </w:r>
            <w:r>
              <w:rPr>
                <w:b/>
              </w:rPr>
              <w:t>отчет</w:t>
            </w:r>
            <w:r w:rsidR="00D41D51">
              <w:rPr>
                <w:b/>
                <w:lang w:val="en-US"/>
              </w:rPr>
              <w:t xml:space="preserve"> </w:t>
            </w:r>
            <w:r w:rsidR="00D41D51">
              <w:rPr>
                <w:b/>
              </w:rPr>
              <w:t>за</w:t>
            </w:r>
            <w:r>
              <w:rPr>
                <w:b/>
              </w:rPr>
              <w:t xml:space="preserve"> 2022 г.</w:t>
            </w:r>
          </w:p>
        </w:tc>
      </w:tr>
      <w:tr w:rsidR="00323DCC" w:rsidTr="007B4EAA">
        <w:trPr>
          <w:trHeight w:val="443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323DCC" w:rsidRPr="00323DCC" w:rsidRDefault="00323DCC" w:rsidP="00323DCC">
            <w:pPr>
              <w:rPr>
                <w:szCs w:val="24"/>
              </w:rPr>
            </w:pPr>
            <w:r w:rsidRPr="00323DCC">
              <w:rPr>
                <w:szCs w:val="24"/>
              </w:rPr>
              <w:t>Корупционен риск - управление, разпореждане или разходване на бюджетни средства и активи, вкл. обществени поръчки</w:t>
            </w:r>
          </w:p>
          <w:p w:rsidR="00323DCC" w:rsidRPr="00300D8D" w:rsidRDefault="00323DCC" w:rsidP="00F75A30">
            <w:pPr>
              <w:jc w:val="center"/>
              <w:rPr>
                <w:sz w:val="22"/>
              </w:rPr>
            </w:pPr>
          </w:p>
        </w:tc>
      </w:tr>
      <w:tr w:rsidR="002767F2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C02205" w:rsidRDefault="00C02205" w:rsidP="00FA0790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C02205" w:rsidRPr="007336F8" w:rsidRDefault="00C02205" w:rsidP="00FA0790">
            <w:pPr>
              <w:jc w:val="center"/>
              <w:rPr>
                <w:lang w:val="en-US"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Причини при неизпълнение</w:t>
            </w:r>
          </w:p>
        </w:tc>
      </w:tr>
      <w:tr w:rsidR="00F73D66" w:rsidTr="007B4EAA">
        <w:trPr>
          <w:trHeight w:val="699"/>
        </w:trPr>
        <w:tc>
          <w:tcPr>
            <w:tcW w:w="1828" w:type="dxa"/>
          </w:tcPr>
          <w:p w:rsidR="00F73D66" w:rsidRPr="003729B8" w:rsidRDefault="003729B8" w:rsidP="003729B8">
            <w:r w:rsidRPr="003729B8">
              <w:rPr>
                <w:rFonts w:eastAsia="Calibri" w:cs="Times New Roman"/>
                <w:sz w:val="18"/>
                <w:szCs w:val="18"/>
              </w:rPr>
              <w:t>Възникването на противоречие между </w:t>
            </w:r>
            <w:hyperlink r:id="rId8" w:tooltip="Обществен интерес" w:history="1">
              <w:r w:rsidRPr="003729B8">
                <w:rPr>
                  <w:rFonts w:eastAsia="Calibri" w:cs="Times New Roman"/>
                  <w:sz w:val="18"/>
                  <w:szCs w:val="18"/>
                </w:rPr>
                <w:t>обществения интерес</w:t>
              </w:r>
            </w:hyperlink>
            <w:r w:rsidRPr="003729B8">
              <w:rPr>
                <w:rFonts w:eastAsia="Calibri" w:cs="Times New Roman"/>
                <w:sz w:val="18"/>
                <w:szCs w:val="18"/>
              </w:rPr>
              <w:t xml:space="preserve">, който следва да се защитава от длъжностните лица и техния частен интерес във връзка с облага от материален или нематериален характер </w:t>
            </w:r>
            <w:r>
              <w:rPr>
                <w:rFonts w:eastAsia="Calibri" w:cs="Times New Roman"/>
                <w:sz w:val="18"/>
                <w:szCs w:val="18"/>
              </w:rPr>
              <w:t>при изпълнение на служебните задължения</w:t>
            </w:r>
          </w:p>
        </w:tc>
        <w:tc>
          <w:tcPr>
            <w:tcW w:w="1997" w:type="dxa"/>
            <w:shd w:val="clear" w:color="auto" w:fill="FFFFFF" w:themeFill="background1"/>
          </w:tcPr>
          <w:p w:rsidR="00F73D66" w:rsidRPr="00232A7E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7B7229">
              <w:rPr>
                <w:rFonts w:cs="Times New Roman"/>
                <w:sz w:val="18"/>
                <w:szCs w:val="18"/>
              </w:rPr>
              <w:t>Възлагане на различни служители изпълнението на отделните етапи от цикъла на обществената поръчка</w:t>
            </w:r>
            <w:r>
              <w:rPr>
                <w:rFonts w:cs="Times New Roman"/>
                <w:sz w:val="18"/>
                <w:szCs w:val="18"/>
              </w:rPr>
              <w:t>, а именно изготвянето на техническата спецификация на обществена поръчка, участието в работата на комисията и следене за изпълнение на сключения договор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FFFFFF" w:themeFill="background1"/>
          </w:tcPr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Превенция за в</w:t>
            </w:r>
            <w:r w:rsidRPr="00F5120E">
              <w:rPr>
                <w:rFonts w:cs="Times New Roman"/>
                <w:sz w:val="18"/>
                <w:szCs w:val="18"/>
              </w:rPr>
              <w:t>ъзникване на корупционни практики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F73D66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Брой постъпили жалби срещу решения за откриване на процедури по ЗОП във връзка със заложени ограничителни условия</w:t>
            </w:r>
          </w:p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F73D66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>Директори на дирекции, които участват в цикъла на обществените поръчки в МРРБ</w:t>
            </w:r>
            <w:r w:rsidRPr="007B474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и </w:t>
            </w:r>
            <w:r w:rsidRPr="00F73D66">
              <w:rPr>
                <w:rFonts w:cs="Times New Roman"/>
                <w:sz w:val="18"/>
                <w:szCs w:val="18"/>
              </w:rPr>
              <w:t>за които тази мярка е приложима</w:t>
            </w:r>
            <w:r w:rsidR="00290900">
              <w:rPr>
                <w:rFonts w:cs="Times New Roman"/>
                <w:sz w:val="18"/>
                <w:szCs w:val="18"/>
              </w:rPr>
              <w:t>;</w:t>
            </w:r>
          </w:p>
          <w:p w:rsidR="00F73D66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3F4F74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F4F74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F4F74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F4F74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F4F74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167BF6" w:rsidRDefault="00290900" w:rsidP="004402CD">
            <w:pPr>
              <w:rPr>
                <w:rFonts w:cs="Times New Roman"/>
                <w:sz w:val="18"/>
                <w:szCs w:val="18"/>
              </w:rPr>
            </w:pPr>
            <w:r w:rsidRPr="00290900">
              <w:rPr>
                <w:rFonts w:cs="Times New Roman"/>
                <w:sz w:val="18"/>
                <w:szCs w:val="18"/>
              </w:rPr>
              <w:t>Директор на дирекция „Обществ</w:t>
            </w:r>
            <w:r w:rsidR="00925937">
              <w:rPr>
                <w:rFonts w:cs="Times New Roman"/>
                <w:sz w:val="18"/>
                <w:szCs w:val="18"/>
              </w:rPr>
              <w:t>ени</w:t>
            </w:r>
            <w:r>
              <w:rPr>
                <w:rFonts w:cs="Times New Roman"/>
                <w:sz w:val="18"/>
                <w:szCs w:val="18"/>
              </w:rPr>
              <w:t xml:space="preserve"> поръчки и правно обслужване“</w:t>
            </w:r>
            <w:r w:rsidR="00946925">
              <w:rPr>
                <w:rFonts w:cs="Times New Roman"/>
                <w:sz w:val="18"/>
                <w:szCs w:val="18"/>
              </w:rPr>
              <w:t>(ОППО)</w:t>
            </w:r>
            <w:r>
              <w:rPr>
                <w:rFonts w:cs="Times New Roman"/>
                <w:sz w:val="18"/>
                <w:szCs w:val="18"/>
              </w:rPr>
              <w:t xml:space="preserve"> и</w:t>
            </w:r>
            <w:r w:rsidR="00AE74F3">
              <w:rPr>
                <w:rFonts w:cs="Times New Roman"/>
                <w:sz w:val="18"/>
                <w:szCs w:val="18"/>
              </w:rPr>
              <w:t xml:space="preserve"> д</w:t>
            </w:r>
            <w:r w:rsidRPr="00290900">
              <w:rPr>
                <w:rFonts w:cs="Times New Roman"/>
                <w:sz w:val="18"/>
                <w:szCs w:val="18"/>
              </w:rPr>
              <w:t>иректор на дирекция „Анализ на риска и оперативен контрол“ (АРОК)</w:t>
            </w:r>
            <w: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t xml:space="preserve"> </w:t>
            </w:r>
            <w:r w:rsidRPr="00290900">
              <w:rPr>
                <w:rFonts w:cs="Times New Roman"/>
                <w:sz w:val="18"/>
                <w:szCs w:val="18"/>
              </w:rPr>
              <w:t>Агенция „Пътна инфраструктура“ (АПИ)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167BF6" w:rsidRDefault="00167BF6" w:rsidP="004402CD">
            <w:pPr>
              <w:rPr>
                <w:rFonts w:cs="Times New Roman"/>
                <w:sz w:val="18"/>
                <w:szCs w:val="18"/>
              </w:rPr>
            </w:pPr>
          </w:p>
          <w:p w:rsidR="000226F0" w:rsidRDefault="000226F0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B32908" w:rsidRDefault="00B32908" w:rsidP="004402CD">
            <w:pPr>
              <w:rPr>
                <w:rFonts w:cs="Times New Roman"/>
                <w:sz w:val="18"/>
                <w:szCs w:val="18"/>
              </w:rPr>
            </w:pPr>
          </w:p>
          <w:p w:rsidR="00F73D66" w:rsidRPr="00AD3731" w:rsidRDefault="00290900" w:rsidP="004402C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„Правна“ и началник на отдел „Процедури и договори“ в Дирекция за нацио</w:t>
            </w:r>
            <w:r w:rsidR="004402CD">
              <w:rPr>
                <w:rFonts w:cs="Times New Roman"/>
                <w:sz w:val="18"/>
                <w:szCs w:val="18"/>
              </w:rPr>
              <w:t>нален строителен контрол (ДНСК)</w:t>
            </w:r>
          </w:p>
        </w:tc>
        <w:tc>
          <w:tcPr>
            <w:tcW w:w="1668" w:type="dxa"/>
            <w:gridSpan w:val="2"/>
          </w:tcPr>
          <w:p w:rsidR="005B2A25" w:rsidRDefault="004F615B" w:rsidP="005B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изпълнява</w:t>
            </w:r>
            <w:r w:rsidR="005B2A25">
              <w:rPr>
                <w:sz w:val="18"/>
                <w:szCs w:val="18"/>
              </w:rPr>
              <w:t>, където е приложима.</w:t>
            </w:r>
          </w:p>
          <w:p w:rsidR="005B2A25" w:rsidRPr="00172986" w:rsidRDefault="004F615B" w:rsidP="005B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МРРБ не </w:t>
            </w:r>
            <w:r w:rsidR="005B2A25">
              <w:rPr>
                <w:sz w:val="18"/>
                <w:szCs w:val="18"/>
              </w:rPr>
              <w:t xml:space="preserve">са постъпвали жалби срещу решение за откриване </w:t>
            </w:r>
            <w:r w:rsidR="005B2A25" w:rsidRPr="0041568B">
              <w:rPr>
                <w:sz w:val="18"/>
                <w:szCs w:val="18"/>
              </w:rPr>
              <w:t>на процедури по ЗОП</w:t>
            </w:r>
            <w:r w:rsidR="005B2A25">
              <w:rPr>
                <w:rFonts w:cs="Times New Roman"/>
                <w:sz w:val="18"/>
                <w:szCs w:val="18"/>
              </w:rPr>
              <w:t xml:space="preserve"> във връзка със заложени ограничителни условия</w:t>
            </w:r>
          </w:p>
          <w:p w:rsidR="00B32908" w:rsidRDefault="004F615B" w:rsidP="00B32908">
            <w:pPr>
              <w:widowControl w:val="0"/>
              <w:shd w:val="clear" w:color="auto" w:fill="FFFFFF"/>
              <w:spacing w:before="240" w:after="120"/>
              <w:ind w:right="-11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Мярката се изпълнява</w:t>
            </w:r>
            <w:r w:rsidR="005B143A">
              <w:rPr>
                <w:rFonts w:eastAsia="Times New Roman" w:cs="Times New Roman"/>
                <w:sz w:val="18"/>
                <w:szCs w:val="18"/>
              </w:rPr>
              <w:t xml:space="preserve">.               </w:t>
            </w:r>
            <w:r w:rsidR="005B143A" w:rsidRPr="005B143A">
              <w:rPr>
                <w:rFonts w:eastAsia="Times New Roman" w:cs="Times New Roman"/>
                <w:sz w:val="18"/>
                <w:szCs w:val="18"/>
              </w:rPr>
              <w:t>Н</w:t>
            </w:r>
            <w:r w:rsidRPr="005B143A">
              <w:rPr>
                <w:rFonts w:eastAsia="Times New Roman" w:cs="Times New Roman"/>
                <w:sz w:val="18"/>
                <w:szCs w:val="18"/>
              </w:rPr>
              <w:t>алице</w:t>
            </w:r>
            <w:r w:rsidR="005B143A" w:rsidRPr="005B143A">
              <w:rPr>
                <w:rFonts w:eastAsia="Times New Roman" w:cs="Times New Roman"/>
                <w:sz w:val="18"/>
                <w:szCs w:val="18"/>
              </w:rPr>
              <w:t xml:space="preserve"> са</w:t>
            </w:r>
            <w:r w:rsidRPr="005B143A">
              <w:rPr>
                <w:rFonts w:eastAsia="Times New Roman" w:cs="Times New Roman"/>
                <w:sz w:val="18"/>
                <w:szCs w:val="18"/>
              </w:rPr>
              <w:t xml:space="preserve"> подадени жалби в КЗК във връзка със заложени ограничителни условия при проведени процедури по ЗОП – 70 бр.</w:t>
            </w:r>
            <w:r w:rsidR="005B143A" w:rsidRPr="005B143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B143A">
              <w:rPr>
                <w:rFonts w:eastAsia="Times New Roman" w:cs="Times New Roman"/>
                <w:sz w:val="18"/>
                <w:szCs w:val="18"/>
              </w:rPr>
              <w:t xml:space="preserve">С решения на КЗК </w:t>
            </w:r>
            <w:r w:rsidR="00B32908">
              <w:rPr>
                <w:rFonts w:eastAsia="Times New Roman" w:cs="Times New Roman"/>
                <w:sz w:val="18"/>
                <w:szCs w:val="18"/>
              </w:rPr>
              <w:t>са оставени без уважение 64</w:t>
            </w:r>
            <w:r w:rsidR="005B143A" w:rsidRPr="005B143A">
              <w:rPr>
                <w:rFonts w:eastAsia="Times New Roman" w:cs="Times New Roman"/>
                <w:sz w:val="18"/>
                <w:szCs w:val="18"/>
              </w:rPr>
              <w:t xml:space="preserve"> бр.</w:t>
            </w:r>
            <w:r w:rsidR="005B143A">
              <w:rPr>
                <w:rFonts w:eastAsia="Times New Roman" w:cs="Times New Roman"/>
                <w:sz w:val="18"/>
                <w:szCs w:val="18"/>
              </w:rPr>
              <w:t xml:space="preserve"> жалби</w:t>
            </w:r>
            <w:r w:rsidRPr="005B143A">
              <w:rPr>
                <w:rFonts w:eastAsia="Times New Roman" w:cs="Times New Roman"/>
                <w:sz w:val="18"/>
                <w:szCs w:val="18"/>
              </w:rPr>
              <w:t>;</w:t>
            </w:r>
            <w:r w:rsidR="005B143A">
              <w:rPr>
                <w:rFonts w:eastAsia="Times New Roman" w:cs="Times New Roman"/>
                <w:sz w:val="18"/>
                <w:szCs w:val="18"/>
              </w:rPr>
              <w:t xml:space="preserve"> 6 бр. са за отмяна на решение на откриване на процедура </w:t>
            </w:r>
          </w:p>
          <w:p w:rsidR="00723B70" w:rsidRPr="00B32908" w:rsidRDefault="0025068A" w:rsidP="00B32908">
            <w:pPr>
              <w:widowControl w:val="0"/>
              <w:shd w:val="clear" w:color="auto" w:fill="FFFFFF"/>
              <w:spacing w:before="240" w:after="120"/>
              <w:ind w:right="-11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Мярката се изпълнява. </w:t>
            </w:r>
            <w:r w:rsidR="000226F0">
              <w:rPr>
                <w:sz w:val="18"/>
                <w:szCs w:val="18"/>
              </w:rPr>
              <w:t>Н</w:t>
            </w:r>
            <w:r w:rsidR="00365E4C">
              <w:rPr>
                <w:sz w:val="18"/>
                <w:szCs w:val="18"/>
              </w:rPr>
              <w:t xml:space="preserve">яма постъпили </w:t>
            </w:r>
            <w:r w:rsidR="005B2A25">
              <w:rPr>
                <w:sz w:val="18"/>
                <w:szCs w:val="18"/>
              </w:rPr>
              <w:t>жалби срещу решения за откриване на процедури по ЗОП</w:t>
            </w:r>
          </w:p>
        </w:tc>
        <w:tc>
          <w:tcPr>
            <w:tcW w:w="1843" w:type="dxa"/>
          </w:tcPr>
          <w:p w:rsidR="00172986" w:rsidRPr="00172986" w:rsidRDefault="00172986" w:rsidP="00F73D66">
            <w:pPr>
              <w:rPr>
                <w:sz w:val="18"/>
                <w:szCs w:val="18"/>
              </w:rPr>
            </w:pPr>
          </w:p>
        </w:tc>
      </w:tr>
      <w:tr w:rsidR="00E06558" w:rsidTr="007B4EAA">
        <w:trPr>
          <w:trHeight w:val="1551"/>
        </w:trPr>
        <w:tc>
          <w:tcPr>
            <w:tcW w:w="1828" w:type="dxa"/>
          </w:tcPr>
          <w:p w:rsidR="00E06558" w:rsidRPr="0035399B" w:rsidRDefault="00E0655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от злоупотреба със служебно положение </w:t>
            </w:r>
            <w:r w:rsidRPr="0035399B">
              <w:rPr>
                <w:sz w:val="18"/>
                <w:szCs w:val="18"/>
              </w:rPr>
              <w:t>при провеж</w:t>
            </w:r>
            <w:r>
              <w:rPr>
                <w:sz w:val="18"/>
                <w:szCs w:val="18"/>
              </w:rPr>
              <w:t>дане на процедури по ЗОП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C85E1E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онтролни лист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ове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за проверка на изискванията за  законосъобразност  по процедури и комисии по ЗОП,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както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и плащания на сертификати за действително извършени дейности от контрагенти по договори с възложител АПИ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widowControl w:val="0"/>
              <w:ind w:left="-108" w:right="-108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неправомерни плащания и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опити за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манипулиране на процедури по ЗОП.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3" w:right="-15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 xml:space="preserve">Брой издадени контролни листове, чрез които се удостоверява законосъобразността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color w:val="000000" w:themeColor="text1"/>
                <w:sz w:val="18"/>
                <w:szCs w:val="18"/>
              </w:rPr>
              <w:t>на процедурата по ЗОП или съответствие</w:t>
            </w:r>
            <w:r>
              <w:rPr>
                <w:color w:val="000000" w:themeColor="text1"/>
                <w:sz w:val="18"/>
                <w:szCs w:val="18"/>
              </w:rPr>
              <w:t>то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на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отчетените и </w:t>
            </w:r>
            <w:r w:rsidRPr="008D5712">
              <w:rPr>
                <w:color w:val="000000" w:themeColor="text1"/>
                <w:sz w:val="18"/>
                <w:szCs w:val="18"/>
              </w:rPr>
              <w:t>дей</w:t>
            </w:r>
            <w:r>
              <w:rPr>
                <w:color w:val="000000" w:themeColor="text1"/>
                <w:sz w:val="18"/>
                <w:szCs w:val="18"/>
              </w:rPr>
              <w:t>ствително извършените дейности в сертификатите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8" w:right="-5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</w:t>
            </w:r>
            <w:r>
              <w:rPr>
                <w:color w:val="000000" w:themeColor="text1"/>
                <w:sz w:val="18"/>
                <w:szCs w:val="18"/>
              </w:rPr>
              <w:t>С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на </w:t>
            </w:r>
            <w:r>
              <w:rPr>
                <w:color w:val="000000" w:themeColor="text1"/>
                <w:sz w:val="18"/>
                <w:szCs w:val="18"/>
              </w:rPr>
              <w:t>АПИ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; Директор на дирекция </w:t>
            </w:r>
            <w:r>
              <w:rPr>
                <w:color w:val="000000" w:themeColor="text1"/>
                <w:sz w:val="18"/>
                <w:szCs w:val="18"/>
              </w:rPr>
              <w:t xml:space="preserve">ОППО; Директор на дирекция </w:t>
            </w:r>
            <w:r w:rsidRPr="00BD7541">
              <w:rPr>
                <w:color w:val="000000" w:themeColor="text1"/>
                <w:sz w:val="18"/>
                <w:szCs w:val="18"/>
              </w:rPr>
              <w:t>АРОК</w:t>
            </w:r>
          </w:p>
        </w:tc>
        <w:tc>
          <w:tcPr>
            <w:tcW w:w="1668" w:type="dxa"/>
            <w:gridSpan w:val="2"/>
          </w:tcPr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Предварителен </w:t>
            </w:r>
            <w:r w:rsidRPr="004441E1">
              <w:rPr>
                <w:sz w:val="18"/>
                <w:szCs w:val="18"/>
              </w:rPr>
              <w:t xml:space="preserve">нефинансов </w:t>
            </w:r>
            <w:r>
              <w:rPr>
                <w:sz w:val="18"/>
                <w:szCs w:val="18"/>
              </w:rPr>
              <w:t>контрол</w:t>
            </w:r>
            <w:r w:rsidRPr="004F303D">
              <w:rPr>
                <w:sz w:val="18"/>
                <w:szCs w:val="18"/>
              </w:rPr>
              <w:t>: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Default="003169E0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Издадени 1075 </w:t>
            </w:r>
            <w:r w:rsidR="00E06558" w:rsidRPr="004F303D">
              <w:rPr>
                <w:sz w:val="18"/>
                <w:szCs w:val="18"/>
              </w:rPr>
              <w:t xml:space="preserve">бр. </w:t>
            </w:r>
            <w:r w:rsidR="00E06558">
              <w:rPr>
                <w:sz w:val="18"/>
                <w:szCs w:val="18"/>
              </w:rPr>
              <w:t>к</w:t>
            </w:r>
            <w:r w:rsidR="00E06558" w:rsidRPr="004F303D">
              <w:rPr>
                <w:sz w:val="18"/>
                <w:szCs w:val="18"/>
              </w:rPr>
              <w:t>онтролни лист</w:t>
            </w:r>
            <w:r w:rsidR="00E06558">
              <w:rPr>
                <w:sz w:val="18"/>
                <w:szCs w:val="18"/>
              </w:rPr>
              <w:t xml:space="preserve">ове (КЛ) във връзка с проведени </w:t>
            </w:r>
            <w:r w:rsidR="00E06558" w:rsidRPr="004F303D">
              <w:rPr>
                <w:sz w:val="18"/>
                <w:szCs w:val="18"/>
              </w:rPr>
              <w:t xml:space="preserve">процедури </w:t>
            </w:r>
            <w:r w:rsidR="00E06558">
              <w:rPr>
                <w:sz w:val="18"/>
                <w:szCs w:val="18"/>
              </w:rPr>
              <w:t>по</w:t>
            </w:r>
            <w:r w:rsidR="00E06558" w:rsidRPr="004F303D">
              <w:rPr>
                <w:sz w:val="18"/>
                <w:szCs w:val="18"/>
              </w:rPr>
              <w:t xml:space="preserve"> ЗОП 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303D">
              <w:rPr>
                <w:sz w:val="18"/>
                <w:szCs w:val="18"/>
              </w:rPr>
              <w:t>Предварителен финансов контрол: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303D">
              <w:rPr>
                <w:sz w:val="18"/>
                <w:szCs w:val="18"/>
              </w:rPr>
              <w:t>преди поемане на задължение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22F9F">
              <w:rPr>
                <w:sz w:val="18"/>
                <w:szCs w:val="18"/>
              </w:rPr>
              <w:t xml:space="preserve">– 2902 </w:t>
            </w:r>
            <w:r w:rsidRPr="004F303D">
              <w:rPr>
                <w:sz w:val="18"/>
                <w:szCs w:val="18"/>
              </w:rPr>
              <w:t xml:space="preserve">бр. </w:t>
            </w:r>
            <w:r>
              <w:rPr>
                <w:sz w:val="18"/>
                <w:szCs w:val="18"/>
              </w:rPr>
              <w:t>КЛ</w:t>
            </w:r>
            <w:r w:rsidRPr="004F303D">
              <w:rPr>
                <w:sz w:val="18"/>
                <w:szCs w:val="18"/>
              </w:rPr>
              <w:t>;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303D">
              <w:rPr>
                <w:sz w:val="18"/>
                <w:szCs w:val="18"/>
              </w:rPr>
              <w:t>преди извършване на плащане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42C79">
              <w:rPr>
                <w:sz w:val="18"/>
                <w:szCs w:val="18"/>
              </w:rPr>
              <w:t xml:space="preserve">– 7670 </w:t>
            </w:r>
            <w:r w:rsidRPr="004F303D">
              <w:rPr>
                <w:sz w:val="18"/>
                <w:szCs w:val="18"/>
              </w:rPr>
              <w:t xml:space="preserve">бр. издадени </w:t>
            </w:r>
            <w:r>
              <w:rPr>
                <w:sz w:val="18"/>
                <w:szCs w:val="18"/>
              </w:rPr>
              <w:t>КЛ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Pr="00C61534" w:rsidRDefault="00E06558" w:rsidP="00C25104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303D">
              <w:rPr>
                <w:sz w:val="18"/>
                <w:szCs w:val="18"/>
              </w:rPr>
              <w:t>Проверени сертифика</w:t>
            </w:r>
            <w:r>
              <w:rPr>
                <w:sz w:val="18"/>
                <w:szCs w:val="18"/>
              </w:rPr>
              <w:t>ти за плащане по изпълнение на д</w:t>
            </w:r>
            <w:r w:rsidRPr="004F303D">
              <w:rPr>
                <w:sz w:val="18"/>
                <w:szCs w:val="18"/>
              </w:rPr>
              <w:t>оговори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0590C">
              <w:rPr>
                <w:sz w:val="18"/>
                <w:szCs w:val="18"/>
              </w:rPr>
              <w:t xml:space="preserve">– 1824 </w:t>
            </w:r>
            <w:r w:rsidRPr="004F303D">
              <w:rPr>
                <w:sz w:val="18"/>
                <w:szCs w:val="18"/>
              </w:rPr>
              <w:t>бр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06558" w:rsidRPr="00362F44" w:rsidRDefault="00E06558" w:rsidP="00E06558"/>
        </w:tc>
      </w:tr>
      <w:tr w:rsidR="00E06558" w:rsidTr="007B4EAA">
        <w:trPr>
          <w:trHeight w:val="444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E06558" w:rsidRPr="00997F5F" w:rsidRDefault="00E06558" w:rsidP="00E06558">
            <w:r>
              <w:t>Корупционен риск – извършване на контролни дейности</w:t>
            </w:r>
          </w:p>
        </w:tc>
      </w:tr>
      <w:tr w:rsidR="00E06558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E06558" w:rsidRPr="003A29B6" w:rsidRDefault="00E06558" w:rsidP="00E06558">
            <w:pPr>
              <w:jc w:val="center"/>
              <w:rPr>
                <w:b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Причини при неизпълнение</w:t>
            </w:r>
          </w:p>
        </w:tc>
      </w:tr>
      <w:tr w:rsidR="00E06558" w:rsidTr="00B924E1">
        <w:trPr>
          <w:trHeight w:val="2532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3B2979">
              <w:rPr>
                <w:rFonts w:cs="Times New Roman"/>
                <w:sz w:val="18"/>
                <w:szCs w:val="18"/>
              </w:rPr>
              <w:lastRenderedPageBreak/>
              <w:t>Риск свързан с идентифициране на възможно издаване на административен акт, без да е спазена регламентира</w:t>
            </w:r>
            <w:r>
              <w:rPr>
                <w:rFonts w:cs="Times New Roman"/>
                <w:sz w:val="18"/>
                <w:szCs w:val="18"/>
              </w:rPr>
              <w:t>ната съгласувателна процедура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cs="Times New Roman"/>
                <w:sz w:val="18"/>
                <w:szCs w:val="18"/>
              </w:rPr>
              <w:t>но- стите в рамките на ГД СППРР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7B4EAA" w:rsidRDefault="00E06558" w:rsidP="00E06558">
            <w:pPr>
              <w:ind w:right="-109"/>
              <w:rPr>
                <w:rFonts w:cs="Times New Roman"/>
                <w:sz w:val="18"/>
                <w:szCs w:val="18"/>
                <w:lang w:val="en-US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Въведена електрон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8A7045">
              <w:rPr>
                <w:rFonts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съгласуване на издадени актове чрез деловодната система </w:t>
            </w:r>
            <w:r>
              <w:rPr>
                <w:rFonts w:cs="Times New Roman"/>
                <w:sz w:val="18"/>
                <w:szCs w:val="18"/>
              </w:rPr>
              <w:t>на МРРБ "Акстър офис"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B1191">
              <w:rPr>
                <w:rFonts w:cs="Times New Roman"/>
                <w:sz w:val="18"/>
                <w:szCs w:val="18"/>
              </w:rPr>
              <w:t>Главна дирекция „Стратегическо  планиране и програми за регионално развитие“ (ГД СППРР) в МРРБ</w:t>
            </w:r>
          </w:p>
        </w:tc>
        <w:tc>
          <w:tcPr>
            <w:tcW w:w="1668" w:type="dxa"/>
            <w:gridSpan w:val="2"/>
          </w:tcPr>
          <w:p w:rsidR="00E06558" w:rsidRPr="00366C44" w:rsidRDefault="00E06558" w:rsidP="00E06558">
            <w:pPr>
              <w:ind w:right="-110"/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</w:t>
            </w:r>
            <w:r w:rsidR="00DA7FC4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всеки административен акт на ръководителя на управляващия орган (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РУО</w:t>
            </w:r>
            <w:r w:rsidR="00DA7FC4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) на ОПРР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>Риск свързан с възможност за верификация на недопустими разходи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</w:t>
            </w:r>
            <w:r>
              <w:rPr>
                <w:rFonts w:cs="Times New Roman"/>
                <w:sz w:val="18"/>
                <w:szCs w:val="18"/>
              </w:rPr>
              <w:t>енефициенти на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cs="Times New Roman"/>
                <w:sz w:val="18"/>
                <w:szCs w:val="18"/>
              </w:rPr>
              <w:t>но-стите в рамките на ГД СППРР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Извършване на проверки на отговорните лица във връзка с одобрение на разходит</w:t>
            </w:r>
            <w:r>
              <w:rPr>
                <w:rFonts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 xml:space="preserve">ГД СППРР в МРРБ </w:t>
            </w:r>
          </w:p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Pr="00366C44" w:rsidRDefault="00E06558" w:rsidP="00E06558">
            <w:pPr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в съответствие с НУИОПРР 2014-2020 и Системите за управление и контрол на ОПРР 2014-2020</w:t>
            </w:r>
            <w:r w:rsidR="00CC0EA4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г.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 xml:space="preserve">Риск свързан с възможност </w:t>
            </w:r>
            <w:r>
              <w:rPr>
                <w:rFonts w:cs="Times New Roman"/>
                <w:sz w:val="18"/>
                <w:szCs w:val="18"/>
              </w:rPr>
              <w:t>за</w:t>
            </w:r>
            <w:r>
              <w:t xml:space="preserve"> </w:t>
            </w:r>
            <w:r w:rsidRPr="00323369">
              <w:rPr>
                <w:rFonts w:cs="Times New Roman"/>
                <w:sz w:val="18"/>
                <w:szCs w:val="18"/>
              </w:rPr>
              <w:t>манипулации на компютърните системи</w:t>
            </w: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Default="00E06558" w:rsidP="00E06558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 намаляване на административ</w:t>
            </w:r>
            <w:r>
              <w:rPr>
                <w:rFonts w:cs="Times New Roman"/>
                <w:sz w:val="18"/>
                <w:szCs w:val="18"/>
              </w:rPr>
              <w:t>-</w:t>
            </w:r>
          </w:p>
          <w:p w:rsidR="00E06558" w:rsidRPr="008A7045" w:rsidRDefault="00E06558" w:rsidP="00E06558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ната тежест на бенефициентите и служителите на У</w:t>
            </w:r>
            <w:r>
              <w:rPr>
                <w:rFonts w:cs="Times New Roman"/>
                <w:sz w:val="18"/>
                <w:szCs w:val="18"/>
              </w:rPr>
              <w:t>правляващ орган (У</w:t>
            </w:r>
            <w:r w:rsidRPr="008A704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8A7045">
              <w:rPr>
                <w:rFonts w:cs="Times New Roman"/>
                <w:sz w:val="18"/>
                <w:szCs w:val="18"/>
              </w:rPr>
              <w:t xml:space="preserve"> на ОПРР 2014-2020, допускане на грешки при отчитане и проверка на разходите и н</w:t>
            </w:r>
            <w:r>
              <w:rPr>
                <w:rFonts w:cs="Times New Roman"/>
                <w:sz w:val="18"/>
                <w:szCs w:val="18"/>
              </w:rPr>
              <w:t>едопускане манипулация на данни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>
              <w:rPr>
                <w:rFonts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>ГД СППРР в МРРБ</w:t>
            </w:r>
          </w:p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Default="00E06558" w:rsidP="00E06558"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 w:rsidRPr="00FE1773">
              <w:rPr>
                <w:rFonts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Pr="009E65B3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Риск свързан с недоволство на обществото за липса на прозрачност</w:t>
            </w:r>
            <w:r w:rsidRPr="009E65B3">
              <w:rPr>
                <w:rFonts w:cs="Times New Roman"/>
                <w:sz w:val="18"/>
                <w:szCs w:val="18"/>
              </w:rPr>
              <w:t xml:space="preserve"> при изпълнение на  строителни обекти и услуги </w:t>
            </w:r>
            <w:r>
              <w:rPr>
                <w:rFonts w:cs="Times New Roman"/>
                <w:sz w:val="18"/>
                <w:szCs w:val="18"/>
              </w:rPr>
              <w:t>от национално значение</w:t>
            </w: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Осигуряване на по-голяма прозрачност и външен контрол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1.Подписан Пакт с НПО „Прозрачност без граници“;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2.Сформиран Комитет за наблюдение на изграждането на АМ „Струма“ с представители на министерства, областни управители и екоорганизации;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FF0000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3.Сформиран обществен консултативен съвет с участие на браншови организации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 на УС на АПИ; </w:t>
            </w:r>
          </w:p>
          <w:p w:rsidR="00E06558" w:rsidRPr="00BD7541" w:rsidRDefault="00E06558" w:rsidP="00E06558">
            <w:pPr>
              <w:pStyle w:val="NoSpacing"/>
              <w:ind w:left="-10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дирекция „Изпълнение на проекти по оперативна програма „Транспорт и транспортна инфраструктура“ 2014-2020;</w:t>
            </w:r>
          </w:p>
          <w:p w:rsidR="00E06558" w:rsidRPr="00BD7541" w:rsidRDefault="00E06558" w:rsidP="00E06558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Национално тол управление (НТУ)</w:t>
            </w:r>
          </w:p>
          <w:p w:rsidR="00E06558" w:rsidRPr="00BD7541" w:rsidRDefault="00E06558" w:rsidP="00E06558">
            <w:pPr>
              <w:pStyle w:val="NoSpacing"/>
              <w:ind w:left="-107" w:right="-108"/>
              <w:rPr>
                <w:color w:val="000000" w:themeColor="text1"/>
              </w:rPr>
            </w:pPr>
            <w:r w:rsidRPr="00BD7541">
              <w:rPr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gridSpan w:val="2"/>
          </w:tcPr>
          <w:p w:rsidR="00E06558" w:rsidRPr="004F303D" w:rsidRDefault="00E06558" w:rsidP="00E0655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1965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637DE">
              <w:rPr>
                <w:rFonts w:cs="Times New Roman"/>
                <w:sz w:val="18"/>
                <w:szCs w:val="18"/>
              </w:rPr>
              <w:t xml:space="preserve">Предотвратяване на злоупотреби </w:t>
            </w:r>
            <w:r>
              <w:rPr>
                <w:rFonts w:cs="Times New Roman"/>
                <w:sz w:val="18"/>
                <w:szCs w:val="18"/>
              </w:rPr>
              <w:t xml:space="preserve">със служебно положение и опити за </w:t>
            </w:r>
            <w:r w:rsidRPr="00A637DE">
              <w:rPr>
                <w:rFonts w:cs="Times New Roman"/>
                <w:sz w:val="18"/>
                <w:szCs w:val="18"/>
              </w:rPr>
              <w:t>ма</w:t>
            </w:r>
            <w:r>
              <w:rPr>
                <w:rFonts w:cs="Times New Roman"/>
                <w:sz w:val="18"/>
                <w:szCs w:val="18"/>
              </w:rPr>
              <w:t>нипулации от страна на граждани</w:t>
            </w:r>
          </w:p>
        </w:tc>
        <w:tc>
          <w:tcPr>
            <w:tcW w:w="1997" w:type="dxa"/>
          </w:tcPr>
          <w:p w:rsidR="00E06558" w:rsidRPr="00BD7541" w:rsidRDefault="00E06558" w:rsidP="00EE06A3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Въвеждане на ротация на служителите с контролни функции  </w:t>
            </w:r>
            <w:r>
              <w:rPr>
                <w:rFonts w:cs="Times New Roman"/>
                <w:sz w:val="18"/>
                <w:szCs w:val="18"/>
              </w:rPr>
              <w:t>при извършване на проверки</w:t>
            </w:r>
            <w:r w:rsidRPr="00BD7541">
              <w:rPr>
                <w:rFonts w:cs="Times New Roman"/>
                <w:sz w:val="18"/>
                <w:szCs w:val="18"/>
              </w:rPr>
              <w:t xml:space="preserve"> чрез сформиране на  мобилни групи по чл.1</w:t>
            </w:r>
            <w:r w:rsidR="00EE06A3">
              <w:rPr>
                <w:rFonts w:cs="Times New Roman"/>
                <w:sz w:val="18"/>
                <w:szCs w:val="18"/>
              </w:rPr>
              <w:t>9, ал. 2, т. 6</w:t>
            </w:r>
            <w:r w:rsidRPr="00BD7541">
              <w:rPr>
                <w:rFonts w:cs="Times New Roman"/>
                <w:sz w:val="18"/>
                <w:szCs w:val="18"/>
              </w:rPr>
              <w:t xml:space="preserve"> </w:t>
            </w:r>
            <w:r w:rsidR="00EE06A3" w:rsidRPr="00BD7541">
              <w:rPr>
                <w:rFonts w:cs="Times New Roman"/>
                <w:sz w:val="18"/>
                <w:szCs w:val="18"/>
              </w:rPr>
              <w:t>от Закона за пътищата (ЗП)</w:t>
            </w:r>
            <w:r w:rsidR="00EE06A3">
              <w:rPr>
                <w:rFonts w:cs="Times New Roman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sz w:val="18"/>
                <w:szCs w:val="18"/>
              </w:rPr>
              <w:t>/</w:t>
            </w:r>
            <w:r w:rsidRPr="00BD7541">
              <w:rPr>
                <w:rFonts w:cs="Times New Roman"/>
                <w:i/>
                <w:sz w:val="18"/>
                <w:szCs w:val="18"/>
              </w:rPr>
              <w:t>контрол на масата и габаритните размери на пътни превозни средства/</w:t>
            </w:r>
            <w:r w:rsidRPr="00BD7541">
              <w:rPr>
                <w:rFonts w:cs="Times New Roman"/>
                <w:sz w:val="18"/>
                <w:szCs w:val="18"/>
              </w:rPr>
              <w:t xml:space="preserve"> и чл.10б</w:t>
            </w:r>
            <w:r w:rsidR="004257DF">
              <w:rPr>
                <w:rFonts w:cs="Times New Roman"/>
                <w:sz w:val="18"/>
                <w:szCs w:val="18"/>
              </w:rPr>
              <w:t>, ал. 2</w:t>
            </w:r>
            <w:r w:rsidR="00EE06A3">
              <w:rPr>
                <w:rFonts w:cs="Times New Roman"/>
                <w:sz w:val="18"/>
                <w:szCs w:val="18"/>
              </w:rPr>
              <w:t xml:space="preserve"> от ЗП</w:t>
            </w:r>
            <w:r w:rsidRPr="00BD7541">
              <w:rPr>
                <w:rFonts w:cs="Times New Roman"/>
                <w:sz w:val="18"/>
                <w:szCs w:val="18"/>
              </w:rPr>
              <w:t xml:space="preserve"> /</w:t>
            </w:r>
            <w:r w:rsidRPr="00BD7541">
              <w:rPr>
                <w:rFonts w:cs="Times New Roman"/>
                <w:i/>
                <w:sz w:val="18"/>
                <w:szCs w:val="18"/>
              </w:rPr>
              <w:t>мобилен контрол за заплащане на Тол – такси/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Прозрачност при оп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BD7541">
              <w:rPr>
                <w:rFonts w:cs="Times New Roman"/>
                <w:sz w:val="18"/>
                <w:szCs w:val="18"/>
              </w:rPr>
              <w:t>еделя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екипите и упражнява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контрол върху дейността на служителите с цел превен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ция за възни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кване на корупционни практики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BD7541">
              <w:rPr>
                <w:rFonts w:cs="Times New Roman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Брой на издадените </w:t>
            </w:r>
            <w:r>
              <w:rPr>
                <w:rFonts w:cs="Times New Roman"/>
                <w:sz w:val="18"/>
                <w:szCs w:val="18"/>
              </w:rPr>
              <w:t xml:space="preserve">наказателни постановления </w:t>
            </w:r>
            <w:r w:rsidRPr="00BD7541">
              <w:rPr>
                <w:rFonts w:cs="Times New Roman"/>
                <w:sz w:val="18"/>
                <w:szCs w:val="18"/>
              </w:rPr>
              <w:t>и доброволна събираемост на сумите от наложените глоби/санкции</w:t>
            </w:r>
          </w:p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ind w:left="-10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</w:t>
            </w:r>
            <w:r w:rsidRPr="00BD7541">
              <w:rPr>
                <w:rFonts w:cs="Times New Roman"/>
                <w:sz w:val="18"/>
                <w:szCs w:val="18"/>
              </w:rPr>
              <w:t xml:space="preserve">тдел „Контрол по РПМ“ и </w:t>
            </w:r>
            <w:r>
              <w:rPr>
                <w:rFonts w:cs="Times New Roman"/>
                <w:sz w:val="18"/>
                <w:szCs w:val="18"/>
              </w:rPr>
              <w:t xml:space="preserve">началник на </w:t>
            </w:r>
            <w:r w:rsidRPr="00BD7541">
              <w:rPr>
                <w:rFonts w:cs="Times New Roman"/>
                <w:sz w:val="18"/>
                <w:szCs w:val="18"/>
              </w:rPr>
              <w:t>отдел „Контрол и правоприлагане“ в НТУ в АПИ</w:t>
            </w:r>
          </w:p>
        </w:tc>
        <w:tc>
          <w:tcPr>
            <w:tcW w:w="1668" w:type="dxa"/>
            <w:gridSpan w:val="2"/>
          </w:tcPr>
          <w:p w:rsidR="00237B10" w:rsidRPr="008123CD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8123CD">
              <w:rPr>
                <w:rFonts w:eastAsia="Calibri" w:cs="Times New Roman"/>
                <w:sz w:val="18"/>
                <w:szCs w:val="18"/>
              </w:rPr>
              <w:t>1.Контрол по Републиканска пътна мрежа (РПМ) /</w:t>
            </w:r>
            <w:r w:rsidR="00EE06A3" w:rsidRPr="00EE06A3">
              <w:rPr>
                <w:rFonts w:eastAsia="Calibri" w:cs="Times New Roman"/>
                <w:sz w:val="18"/>
                <w:szCs w:val="18"/>
              </w:rPr>
              <w:t>чл.19, ал. 2, т. 6</w:t>
            </w:r>
            <w:r w:rsidRPr="00EE06A3">
              <w:rPr>
                <w:rFonts w:eastAsia="Calibri" w:cs="Times New Roman"/>
                <w:sz w:val="18"/>
                <w:szCs w:val="18"/>
              </w:rPr>
              <w:t xml:space="preserve"> от ЗП/</w:t>
            </w:r>
          </w:p>
          <w:p w:rsidR="00237B10" w:rsidRPr="004F303D" w:rsidRDefault="00237B10" w:rsidP="00237B1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>- с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ъставени </w:t>
            </w:r>
            <w:r w:rsidRPr="008123CD">
              <w:rPr>
                <w:rFonts w:eastAsia="Calibri" w:cs="Times New Roman"/>
                <w:sz w:val="18"/>
                <w:szCs w:val="18"/>
              </w:rPr>
              <w:t>АУАН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 за нарушения -  </w:t>
            </w:r>
            <w:r w:rsidR="00621003">
              <w:rPr>
                <w:rFonts w:eastAsia="Calibri" w:cs="Times New Roman"/>
                <w:sz w:val="18"/>
                <w:szCs w:val="18"/>
              </w:rPr>
              <w:t xml:space="preserve">441 </w:t>
            </w:r>
            <w:r w:rsidRPr="008123CD">
              <w:rPr>
                <w:rFonts w:eastAsia="Calibri" w:cs="Times New Roman"/>
                <w:sz w:val="18"/>
                <w:szCs w:val="18"/>
              </w:rPr>
              <w:t>бр;</w:t>
            </w:r>
          </w:p>
          <w:p w:rsidR="00237B10" w:rsidRPr="004F303D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>- издадени н</w:t>
            </w:r>
            <w:r w:rsidRPr="004F303D">
              <w:rPr>
                <w:rFonts w:eastAsia="Calibri" w:cs="Times New Roman"/>
                <w:sz w:val="18"/>
                <w:szCs w:val="18"/>
              </w:rPr>
              <w:t>аказа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Pr="004F303D">
              <w:rPr>
                <w:rFonts w:eastAsia="Calibri" w:cs="Times New Roman"/>
                <w:sz w:val="18"/>
                <w:szCs w:val="18"/>
              </w:rPr>
              <w:t>телни постановле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ния </w:t>
            </w:r>
            <w:r w:rsidR="00E92F75">
              <w:rPr>
                <w:rFonts w:eastAsia="Calibri" w:cs="Times New Roman"/>
                <w:sz w:val="18"/>
                <w:szCs w:val="18"/>
              </w:rPr>
              <w:t xml:space="preserve">– 421 </w:t>
            </w:r>
            <w:r w:rsidRPr="008123CD">
              <w:rPr>
                <w:rFonts w:eastAsia="Calibri" w:cs="Times New Roman"/>
                <w:sz w:val="18"/>
                <w:szCs w:val="18"/>
              </w:rPr>
              <w:t>бр.</w:t>
            </w:r>
          </w:p>
          <w:p w:rsidR="00237B10" w:rsidRPr="004F303D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 д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оброволна събираемост чрез  постъпили суми  в </w:t>
            </w:r>
            <w:r w:rsidR="003D3EDA">
              <w:rPr>
                <w:rFonts w:eastAsia="Calibri" w:cs="Times New Roman"/>
                <w:sz w:val="18"/>
                <w:szCs w:val="18"/>
              </w:rPr>
              <w:t>АПИ – 282 07</w:t>
            </w:r>
            <w:r w:rsidR="00311326">
              <w:rPr>
                <w:rFonts w:eastAsia="Calibri" w:cs="Times New Roman"/>
                <w:sz w:val="18"/>
                <w:szCs w:val="18"/>
              </w:rPr>
              <w:t>0</w:t>
            </w:r>
            <w:r w:rsidRPr="008123CD">
              <w:rPr>
                <w:rFonts w:eastAsia="Calibri" w:cs="Times New Roman"/>
                <w:sz w:val="18"/>
                <w:szCs w:val="18"/>
              </w:rPr>
              <w:t xml:space="preserve"> лв.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237B10" w:rsidRPr="008123CD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>- с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ъбрани </w:t>
            </w:r>
            <w:r>
              <w:rPr>
                <w:rFonts w:eastAsia="Calibri" w:cs="Times New Roman"/>
                <w:sz w:val="18"/>
                <w:szCs w:val="18"/>
              </w:rPr>
              <w:t xml:space="preserve">суми </w:t>
            </w:r>
            <w:r w:rsidR="003729B7">
              <w:rPr>
                <w:rFonts w:eastAsia="Calibri" w:cs="Times New Roman"/>
                <w:sz w:val="18"/>
                <w:szCs w:val="18"/>
              </w:rPr>
              <w:t xml:space="preserve">от НАП – 136 965 </w:t>
            </w:r>
            <w:r w:rsidRPr="008123CD"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237B10" w:rsidRPr="004F303D" w:rsidRDefault="00237B10" w:rsidP="00237B1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237B10" w:rsidRPr="008123CD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8123CD">
              <w:rPr>
                <w:rFonts w:eastAsia="Calibri" w:cs="Times New Roman"/>
                <w:sz w:val="18"/>
                <w:szCs w:val="18"/>
              </w:rPr>
              <w:t xml:space="preserve">2.Контрол НТУ </w:t>
            </w:r>
            <w:r w:rsidRPr="00EE06A3">
              <w:rPr>
                <w:rFonts w:eastAsia="Calibri" w:cs="Times New Roman"/>
                <w:sz w:val="18"/>
                <w:szCs w:val="18"/>
              </w:rPr>
              <w:t>/чл.10</w:t>
            </w:r>
            <w:r w:rsidR="00EE06A3" w:rsidRPr="00EE06A3">
              <w:rPr>
                <w:rFonts w:eastAsia="Calibri" w:cs="Times New Roman"/>
                <w:sz w:val="18"/>
                <w:szCs w:val="18"/>
              </w:rPr>
              <w:t>б</w:t>
            </w:r>
            <w:r w:rsidR="004257DF">
              <w:rPr>
                <w:rFonts w:eastAsia="Calibri" w:cs="Times New Roman"/>
                <w:sz w:val="18"/>
                <w:szCs w:val="18"/>
              </w:rPr>
              <w:t>, ал. 2</w:t>
            </w:r>
            <w:r w:rsidRPr="00EE06A3">
              <w:rPr>
                <w:rFonts w:eastAsia="Calibri" w:cs="Times New Roman"/>
                <w:sz w:val="18"/>
                <w:szCs w:val="18"/>
              </w:rPr>
              <w:t xml:space="preserve"> от ЗП/</w:t>
            </w:r>
          </w:p>
          <w:p w:rsidR="00237B10" w:rsidRPr="004F303D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 издадени наказателни постановления</w:t>
            </w:r>
            <w:r w:rsidR="00720472">
              <w:rPr>
                <w:rFonts w:eastAsia="Calibri" w:cs="Times New Roman"/>
                <w:sz w:val="18"/>
                <w:szCs w:val="18"/>
              </w:rPr>
              <w:t xml:space="preserve"> – 4 164 </w:t>
            </w:r>
            <w:r w:rsidRPr="008123CD">
              <w:rPr>
                <w:rFonts w:eastAsia="Calibri" w:cs="Times New Roman"/>
                <w:sz w:val="18"/>
                <w:szCs w:val="18"/>
              </w:rPr>
              <w:t>бр.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   </w:t>
            </w:r>
          </w:p>
          <w:p w:rsidR="00237B1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7A18E3">
              <w:rPr>
                <w:rFonts w:eastAsia="Calibri" w:cs="Times New Roman"/>
                <w:sz w:val="18"/>
                <w:szCs w:val="18"/>
              </w:rPr>
              <w:t xml:space="preserve">доброволно събрани суми – </w:t>
            </w:r>
            <w:r w:rsidR="007A18E3">
              <w:rPr>
                <w:rFonts w:eastAsia="Calibri" w:cs="Times New Roman"/>
                <w:sz w:val="18"/>
                <w:szCs w:val="18"/>
              </w:rPr>
              <w:lastRenderedPageBreak/>
              <w:t>27 337 953</w:t>
            </w:r>
            <w:r w:rsidR="008E7F58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E06558" w:rsidRPr="009B33FD" w:rsidRDefault="00237B10" w:rsidP="00151BD7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4F303D">
              <w:rPr>
                <w:rFonts w:eastAsia="Calibri" w:cs="Times New Roman"/>
                <w:sz w:val="18"/>
                <w:szCs w:val="18"/>
              </w:rPr>
              <w:t>Мобилните екипи се сформират на случаен принцип п</w:t>
            </w:r>
            <w:r>
              <w:rPr>
                <w:rFonts w:eastAsia="Calibri" w:cs="Times New Roman"/>
                <w:sz w:val="18"/>
                <w:szCs w:val="18"/>
              </w:rPr>
              <w:t xml:space="preserve">о утвърдени графици в девет административни </w:t>
            </w:r>
            <w:r w:rsidRPr="004F303D">
              <w:rPr>
                <w:rFonts w:eastAsia="Calibri" w:cs="Times New Roman"/>
                <w:sz w:val="18"/>
                <w:szCs w:val="18"/>
              </w:rPr>
              <w:t>сектора.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351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137235">
              <w:rPr>
                <w:rFonts w:cs="Times New Roman"/>
                <w:sz w:val="18"/>
                <w:szCs w:val="18"/>
              </w:rPr>
              <w:t>еправомерно изнасяне, унищожаване и подправяне на документи /тръжни документации, адм. актове и др./</w:t>
            </w:r>
          </w:p>
        </w:tc>
        <w:tc>
          <w:tcPr>
            <w:tcW w:w="1997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Извършване на постоянно видеонаблюдение и контрол за достъпа в административните сгради на АПИ, както и в залите за провеждане на процедури и съхранение на документация по ЗОП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Предотвратя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ване на нерегламенти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рано изнасяне на информация и осъществяване на корупционни практики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УС на АПИ;  Д</w:t>
            </w:r>
            <w:r>
              <w:rPr>
                <w:color w:val="000000" w:themeColor="text1"/>
                <w:sz w:val="18"/>
                <w:szCs w:val="18"/>
              </w:rPr>
              <w:t>иректор на дирекция „Администра</w:t>
            </w:r>
            <w:r w:rsidRPr="00BD7541">
              <w:rPr>
                <w:color w:val="000000" w:themeColor="text1"/>
                <w:sz w:val="18"/>
                <w:szCs w:val="18"/>
              </w:rPr>
              <w:t>тивно обслужване, човешки ресурси и управление на собствеността“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E22DF">
              <w:rPr>
                <w:color w:val="000000" w:themeColor="text1"/>
                <w:sz w:val="18"/>
                <w:szCs w:val="18"/>
              </w:rPr>
              <w:t>АОЧРУС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BD7541">
              <w:rPr>
                <w:color w:val="000000" w:themeColor="text1"/>
                <w:sz w:val="18"/>
                <w:szCs w:val="18"/>
              </w:rPr>
              <w:t>;</w:t>
            </w:r>
          </w:p>
          <w:p w:rsidR="00E06558" w:rsidRDefault="00E0655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E06558" w:rsidRPr="00B87954" w:rsidRDefault="00E0655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63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E06558" w:rsidRDefault="00E06558" w:rsidP="00E06558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E06558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E06558" w:rsidRPr="00AC6CE7" w:rsidRDefault="00E06558" w:rsidP="00E06558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E06558" w:rsidRPr="00AC6CE7" w:rsidRDefault="00E06558" w:rsidP="00E06558">
            <w:pPr>
              <w:ind w:right="-147"/>
              <w:jc w:val="center"/>
            </w:pPr>
            <w:r w:rsidRPr="00AC6CE7">
              <w:t>Насоченост на мярката – организационен/кадрови/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000" w:type="dxa"/>
            <w:gridSpan w:val="4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>
              <w:t>Индикатор</w:t>
            </w:r>
          </w:p>
        </w:tc>
        <w:tc>
          <w:tcPr>
            <w:tcW w:w="1693" w:type="dxa"/>
            <w:gridSpan w:val="4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E06558" w:rsidRDefault="00E06558" w:rsidP="00E06558">
            <w:pPr>
              <w:ind w:left="-104"/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06558" w:rsidRPr="00774F80" w:rsidRDefault="00E06558" w:rsidP="00E06558">
            <w:pPr>
              <w:ind w:left="-83"/>
              <w:jc w:val="center"/>
              <w:rPr>
                <w:lang w:val="en-US"/>
              </w:rPr>
            </w:pPr>
            <w:r>
              <w:t>Причини при неизпълнение</w:t>
            </w:r>
            <w:r>
              <w:rPr>
                <w:lang w:val="en-US"/>
              </w:rPr>
              <w:t xml:space="preserve"> </w:t>
            </w:r>
          </w:p>
        </w:tc>
      </w:tr>
      <w:tr w:rsidR="00E06558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E06558" w:rsidRPr="008F1659" w:rsidRDefault="00E0655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със з</w:t>
            </w:r>
            <w:r w:rsidRPr="008F1659">
              <w:rPr>
                <w:sz w:val="18"/>
                <w:szCs w:val="18"/>
              </w:rPr>
              <w:t>апазва</w:t>
            </w:r>
            <w:r>
              <w:rPr>
                <w:sz w:val="18"/>
                <w:szCs w:val="18"/>
              </w:rPr>
              <w:t>не на</w:t>
            </w:r>
            <w:r w:rsidRPr="008F1659">
              <w:rPr>
                <w:sz w:val="18"/>
                <w:szCs w:val="18"/>
              </w:rPr>
              <w:t xml:space="preserve"> обективността и безпристрастността при извършване на проверките на лицата за оценяване на строителни продукти</w:t>
            </w:r>
          </w:p>
          <w:p w:rsidR="00E06558" w:rsidRDefault="00E06558" w:rsidP="00E06558"/>
          <w:p w:rsidR="00E06558" w:rsidRDefault="00E06558" w:rsidP="00E06558"/>
          <w:p w:rsidR="00E06558" w:rsidRDefault="00E06558" w:rsidP="00E06558"/>
          <w:p w:rsidR="00E06558" w:rsidRDefault="00E06558" w:rsidP="00E06558"/>
          <w:p w:rsidR="00E06558" w:rsidRDefault="00E06558" w:rsidP="00E06558"/>
        </w:tc>
        <w:tc>
          <w:tcPr>
            <w:tcW w:w="1997" w:type="dxa"/>
            <w:shd w:val="clear" w:color="auto" w:fill="auto"/>
          </w:tcPr>
          <w:p w:rsidR="00E06558" w:rsidRPr="00AD6116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Въвеждане на ротационен принцип при определяне на отговорен експерт и членовете на комисиите за предоставяне на АУ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AD6116">
              <w:rPr>
                <w:rFonts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и оценки на строителни продукти“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Организационен</w:t>
            </w: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Pr="00AD6116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E06558" w:rsidRPr="00AD6116" w:rsidRDefault="00E06558" w:rsidP="00E06558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Подобряване администрати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вното обслужване</w:t>
            </w:r>
          </w:p>
          <w:p w:rsidR="00E06558" w:rsidRPr="00AD6116" w:rsidRDefault="00E06558" w:rsidP="00E06558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06558" w:rsidRPr="00AD6116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E06558" w:rsidRPr="00AD6116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E06558" w:rsidRPr="00AD6116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cs="Times New Roman"/>
                <w:sz w:val="18"/>
                <w:szCs w:val="18"/>
              </w:rPr>
              <w:t>в МРРБ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E06558" w:rsidRPr="00AD6116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Началник</w:t>
            </w:r>
            <w:r>
              <w:rPr>
                <w:rFonts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668" w:type="dxa"/>
            <w:gridSpan w:val="2"/>
          </w:tcPr>
          <w:p w:rsidR="000F75A5" w:rsidRDefault="000F75A5" w:rsidP="000865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 постоянно</w:t>
            </w:r>
          </w:p>
          <w:p w:rsidR="00E06558" w:rsidRPr="006650C8" w:rsidRDefault="00E06558" w:rsidP="0008657A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Няма подадени жалби от лицата за оценяване на строителни продукти и от икономически оператори.</w:t>
            </w:r>
          </w:p>
          <w:p w:rsidR="00E06558" w:rsidRPr="006650C8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При определяне на отговорн</w:t>
            </w:r>
            <w:r>
              <w:rPr>
                <w:rFonts w:cs="Times New Roman"/>
                <w:sz w:val="18"/>
                <w:szCs w:val="18"/>
              </w:rPr>
              <w:t xml:space="preserve">ите експерти за проверките през </w:t>
            </w:r>
            <w:r w:rsidRPr="006650C8">
              <w:rPr>
                <w:rFonts w:cs="Times New Roman"/>
                <w:sz w:val="18"/>
                <w:szCs w:val="18"/>
              </w:rPr>
              <w:t>20</w:t>
            </w:r>
            <w:r w:rsidRPr="006650C8"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6650C8">
              <w:rPr>
                <w:rFonts w:cs="Times New Roman"/>
                <w:sz w:val="18"/>
                <w:szCs w:val="18"/>
              </w:rPr>
              <w:t xml:space="preserve"> г. е спазен ротационния принцип.</w:t>
            </w:r>
          </w:p>
          <w:p w:rsidR="00E06558" w:rsidRDefault="00E06558" w:rsidP="00E06558">
            <w:r w:rsidRPr="006650C8">
              <w:rPr>
                <w:rFonts w:cs="Times New Roman"/>
                <w:sz w:val="18"/>
                <w:szCs w:val="18"/>
              </w:rPr>
              <w:lastRenderedPageBreak/>
              <w:t>През 202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6650C8">
              <w:rPr>
                <w:rFonts w:cs="Times New Roman"/>
                <w:sz w:val="18"/>
                <w:szCs w:val="18"/>
              </w:rPr>
              <w:t xml:space="preserve"> г. не са отнемани разрешения.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983"/>
        </w:trPr>
        <w:tc>
          <w:tcPr>
            <w:tcW w:w="1828" w:type="dxa"/>
            <w:shd w:val="clear" w:color="auto" w:fill="auto"/>
          </w:tcPr>
          <w:p w:rsidR="00E06558" w:rsidRPr="00BD72C0" w:rsidRDefault="00E06558" w:rsidP="00E06558">
            <w:pPr>
              <w:rPr>
                <w:sz w:val="18"/>
                <w:szCs w:val="18"/>
              </w:rPr>
            </w:pPr>
            <w:r w:rsidRPr="00BD72C0">
              <w:rPr>
                <w:sz w:val="18"/>
                <w:szCs w:val="18"/>
              </w:rPr>
              <w:t xml:space="preserve">Риск от възникване на корупционни практики </w:t>
            </w:r>
            <w:r>
              <w:rPr>
                <w:sz w:val="18"/>
                <w:szCs w:val="18"/>
              </w:rPr>
              <w:t>при плащане на суми от такси и глоби</w:t>
            </w:r>
          </w:p>
          <w:p w:rsidR="00E06558" w:rsidRPr="00BD72C0" w:rsidRDefault="00E06558" w:rsidP="00E0655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плащане в брой 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при извършване на контролни дейности от мобилна контролна правоприлагаща единица по републиканска пътна мрежа. Прилага се единствено и само услуга на заплащане на Тол такса/винетка</w:t>
            </w:r>
            <w:r w:rsidR="0008036A">
              <w:rPr>
                <w:rFonts w:cs="Times New Roman"/>
                <w:color w:val="000000" w:themeColor="text1"/>
                <w:sz w:val="18"/>
                <w:szCs w:val="18"/>
              </w:rPr>
              <w:t>, чрез устройство пос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-терминал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E06558" w:rsidRPr="00BD7541" w:rsidRDefault="00E06558" w:rsidP="00E065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рганизационен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6558" w:rsidRPr="00BD7541" w:rsidRDefault="00E06558" w:rsidP="00E06558">
            <w:pPr>
              <w:ind w:right="-11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Ограничаване възможн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остта на субективния фактор да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влияе върху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плащането на реални суми и повишаване на събираемостта на таксите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E06558" w:rsidRPr="00BD7541" w:rsidRDefault="00E06558" w:rsidP="0008036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Брой,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вид на плащанията и сума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 постъпила чрез пос-терминал</w:t>
            </w:r>
          </w:p>
        </w:tc>
        <w:tc>
          <w:tcPr>
            <w:tcW w:w="1693" w:type="dxa"/>
            <w:gridSpan w:val="4"/>
          </w:tcPr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НТУ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Pr="00865859" w:rsidRDefault="00E06558" w:rsidP="00E06558">
            <w:pPr>
              <w:rPr>
                <w:sz w:val="18"/>
                <w:szCs w:val="18"/>
              </w:rPr>
            </w:pPr>
            <w:r w:rsidRPr="00865859">
              <w:rPr>
                <w:sz w:val="18"/>
                <w:szCs w:val="18"/>
              </w:rPr>
              <w:t>Извършени са плащания чрез пос терминали, позиционирани както следва:</w:t>
            </w:r>
            <w:r>
              <w:rPr>
                <w:sz w:val="18"/>
                <w:szCs w:val="18"/>
              </w:rPr>
              <w:t xml:space="preserve"> </w:t>
            </w:r>
            <w:r w:rsidRPr="00865859">
              <w:rPr>
                <w:sz w:val="18"/>
                <w:szCs w:val="18"/>
              </w:rPr>
              <w:t xml:space="preserve">   </w:t>
            </w:r>
          </w:p>
          <w:p w:rsidR="00E06558" w:rsidRPr="00865859" w:rsidRDefault="00E06558" w:rsidP="00E06558">
            <w:pPr>
              <w:rPr>
                <w:sz w:val="18"/>
                <w:szCs w:val="18"/>
              </w:rPr>
            </w:pPr>
          </w:p>
          <w:p w:rsidR="00E06558" w:rsidRPr="00865859" w:rsidRDefault="00E06558" w:rsidP="00E06558">
            <w:pPr>
              <w:rPr>
                <w:sz w:val="18"/>
                <w:szCs w:val="18"/>
              </w:rPr>
            </w:pPr>
            <w:r w:rsidRPr="00865859">
              <w:rPr>
                <w:sz w:val="18"/>
                <w:szCs w:val="18"/>
              </w:rPr>
              <w:t>1. В мобилна контролна правоприлагаща единица /кол</w:t>
            </w:r>
            <w:r w:rsidR="00856B6C">
              <w:rPr>
                <w:sz w:val="18"/>
                <w:szCs w:val="18"/>
              </w:rPr>
              <w:t xml:space="preserve">а на НТУ/ - 144 897 </w:t>
            </w:r>
            <w:r w:rsidRPr="00865859">
              <w:rPr>
                <w:sz w:val="18"/>
                <w:szCs w:val="18"/>
              </w:rPr>
              <w:t>бр</w:t>
            </w:r>
            <w:r w:rsidRPr="0071185D">
              <w:rPr>
                <w:sz w:val="18"/>
                <w:szCs w:val="18"/>
              </w:rPr>
              <w:t>.</w:t>
            </w:r>
            <w:r w:rsidRPr="00865859">
              <w:rPr>
                <w:b/>
                <w:sz w:val="18"/>
                <w:szCs w:val="18"/>
                <w:u w:val="single"/>
              </w:rPr>
              <w:t xml:space="preserve"> </w:t>
            </w:r>
            <w:r w:rsidR="00667C20">
              <w:rPr>
                <w:sz w:val="18"/>
                <w:szCs w:val="18"/>
              </w:rPr>
              <w:t xml:space="preserve"> на стойност 16 591 </w:t>
            </w:r>
            <w:r w:rsidR="00667C20">
              <w:rPr>
                <w:sz w:val="18"/>
                <w:szCs w:val="18"/>
                <w:lang w:val="en-US"/>
              </w:rPr>
              <w:t xml:space="preserve">678, 84 </w:t>
            </w:r>
            <w:r w:rsidRPr="00865859">
              <w:rPr>
                <w:sz w:val="18"/>
                <w:szCs w:val="18"/>
              </w:rPr>
              <w:t>лв. -  Това са доброволно заплатени компе</w:t>
            </w:r>
            <w:r w:rsidR="00063D4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</w:t>
            </w:r>
            <w:r w:rsidRPr="00865859">
              <w:rPr>
                <w:sz w:val="18"/>
                <w:szCs w:val="18"/>
              </w:rPr>
              <w:t>саторни такси</w:t>
            </w:r>
            <w:r>
              <w:rPr>
                <w:sz w:val="18"/>
                <w:szCs w:val="18"/>
              </w:rPr>
              <w:t>,</w:t>
            </w:r>
            <w:r w:rsidRPr="00865859">
              <w:rPr>
                <w:sz w:val="18"/>
                <w:szCs w:val="18"/>
              </w:rPr>
              <w:t xml:space="preserve"> в които не са включени таксите</w:t>
            </w:r>
            <w:r>
              <w:rPr>
                <w:sz w:val="18"/>
                <w:szCs w:val="18"/>
              </w:rPr>
              <w:t>,</w:t>
            </w:r>
            <w:r w:rsidRPr="00865859">
              <w:rPr>
                <w:sz w:val="18"/>
                <w:szCs w:val="18"/>
              </w:rPr>
              <w:t xml:space="preserve"> платени чрез банкови преводи и тези събрани от на</w:t>
            </w:r>
            <w:r>
              <w:rPr>
                <w:sz w:val="18"/>
                <w:szCs w:val="18"/>
              </w:rPr>
              <w:t>ционалните доставчици на услуги</w:t>
            </w:r>
            <w:r w:rsidRPr="00865859">
              <w:rPr>
                <w:sz w:val="18"/>
                <w:szCs w:val="18"/>
              </w:rPr>
              <w:t xml:space="preserve">/; </w:t>
            </w:r>
          </w:p>
          <w:p w:rsidR="00E06558" w:rsidRPr="00865859" w:rsidRDefault="00E06558" w:rsidP="00E06558">
            <w:pPr>
              <w:rPr>
                <w:sz w:val="18"/>
                <w:szCs w:val="18"/>
              </w:rPr>
            </w:pPr>
          </w:p>
          <w:p w:rsidR="00E06558" w:rsidRPr="00865859" w:rsidRDefault="00E06558" w:rsidP="00E06558">
            <w:pPr>
              <w:rPr>
                <w:sz w:val="18"/>
                <w:szCs w:val="18"/>
              </w:rPr>
            </w:pPr>
            <w:r w:rsidRPr="00865859">
              <w:rPr>
                <w:sz w:val="18"/>
                <w:szCs w:val="18"/>
              </w:rPr>
              <w:t>2. Извършени плаща</w:t>
            </w:r>
            <w:r>
              <w:rPr>
                <w:sz w:val="18"/>
                <w:szCs w:val="18"/>
              </w:rPr>
              <w:t>ния посредством те</w:t>
            </w:r>
            <w:r w:rsidR="00FC6322">
              <w:rPr>
                <w:sz w:val="18"/>
                <w:szCs w:val="18"/>
              </w:rPr>
              <w:t xml:space="preserve">рминали за самообслужване  877 356 </w:t>
            </w:r>
            <w:r w:rsidRPr="00865859">
              <w:rPr>
                <w:sz w:val="18"/>
                <w:szCs w:val="18"/>
              </w:rPr>
              <w:t>бр. закупуване на е-винетки и марш</w:t>
            </w:r>
            <w:r>
              <w:rPr>
                <w:sz w:val="18"/>
                <w:szCs w:val="18"/>
              </w:rPr>
              <w:t>рутн</w:t>
            </w:r>
            <w:r w:rsidR="005D0716">
              <w:rPr>
                <w:sz w:val="18"/>
                <w:szCs w:val="18"/>
              </w:rPr>
              <w:t>и карти  на стойност 29 981 </w:t>
            </w:r>
            <w:r w:rsidR="005D0716">
              <w:rPr>
                <w:sz w:val="18"/>
                <w:szCs w:val="18"/>
                <w:lang w:val="en-US"/>
              </w:rPr>
              <w:t xml:space="preserve">836, 03 </w:t>
            </w:r>
            <w:r w:rsidRPr="00865859">
              <w:rPr>
                <w:sz w:val="18"/>
                <w:szCs w:val="18"/>
              </w:rPr>
              <w:t>лв.;</w:t>
            </w:r>
          </w:p>
          <w:p w:rsidR="00E06558" w:rsidRPr="00865859" w:rsidRDefault="00E06558" w:rsidP="00E06558">
            <w:pPr>
              <w:rPr>
                <w:sz w:val="18"/>
                <w:szCs w:val="18"/>
              </w:rPr>
            </w:pPr>
          </w:p>
          <w:p w:rsidR="00E06558" w:rsidRPr="00174CE9" w:rsidRDefault="00E06558" w:rsidP="00E06558">
            <w:pPr>
              <w:ind w:right="-110"/>
              <w:rPr>
                <w:sz w:val="18"/>
                <w:szCs w:val="18"/>
                <w:lang w:val="en-US"/>
              </w:rPr>
            </w:pPr>
            <w:r w:rsidRPr="00865859">
              <w:rPr>
                <w:sz w:val="18"/>
                <w:szCs w:val="18"/>
              </w:rPr>
              <w:t>3. Пунктовете</w:t>
            </w:r>
            <w:r w:rsidR="005D0716">
              <w:rPr>
                <w:sz w:val="18"/>
                <w:szCs w:val="18"/>
              </w:rPr>
              <w:t xml:space="preserve"> оперирани от агенцията са 11 047 </w:t>
            </w:r>
            <w:r w:rsidRPr="00865859">
              <w:rPr>
                <w:sz w:val="18"/>
                <w:szCs w:val="18"/>
              </w:rPr>
              <w:lastRenderedPageBreak/>
              <w:t xml:space="preserve">бр. и заплатената </w:t>
            </w:r>
            <w:r>
              <w:rPr>
                <w:sz w:val="18"/>
                <w:szCs w:val="18"/>
              </w:rPr>
              <w:t xml:space="preserve">сума на пос </w:t>
            </w:r>
            <w:r w:rsidRPr="00865859">
              <w:rPr>
                <w:sz w:val="18"/>
                <w:szCs w:val="18"/>
              </w:rPr>
              <w:t>устройство е на сто</w:t>
            </w:r>
            <w:r w:rsidR="005D0716">
              <w:rPr>
                <w:sz w:val="18"/>
                <w:szCs w:val="18"/>
              </w:rPr>
              <w:t>йност 782 477,</w:t>
            </w:r>
            <w:r w:rsidR="005D0716">
              <w:rPr>
                <w:sz w:val="18"/>
                <w:szCs w:val="18"/>
                <w:lang w:val="en-US"/>
              </w:rPr>
              <w:t xml:space="preserve"> 51 </w:t>
            </w:r>
            <w:r w:rsidRPr="00865859">
              <w:rPr>
                <w:sz w:val="18"/>
                <w:szCs w:val="18"/>
              </w:rPr>
              <w:t>лв.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E06558" w:rsidRPr="008F711B" w:rsidRDefault="00E06558" w:rsidP="00E06558">
            <w:pPr>
              <w:rPr>
                <w:sz w:val="18"/>
                <w:szCs w:val="18"/>
              </w:rPr>
            </w:pPr>
            <w:r w:rsidRPr="008F711B">
              <w:rPr>
                <w:sz w:val="18"/>
                <w:szCs w:val="18"/>
              </w:rPr>
              <w:t>Риск от възникване на корупционни практики п</w:t>
            </w:r>
            <w:r>
              <w:rPr>
                <w:sz w:val="18"/>
                <w:szCs w:val="18"/>
              </w:rPr>
              <w:t>ри</w:t>
            </w:r>
            <w:r w:rsidRPr="008F7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пряк</w:t>
            </w:r>
            <w:r w:rsidRPr="008F711B">
              <w:rPr>
                <w:sz w:val="18"/>
                <w:szCs w:val="18"/>
              </w:rPr>
              <w:t xml:space="preserve"> контакт между служител и заявител на административна услуга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Проследяване на информацията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отнасяща се до корупционни практики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отразена в анкетните карти за удовлетвореност на потребителя от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административните услуги в АПИ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E06558" w:rsidRPr="00BD7541" w:rsidRDefault="00E06558" w:rsidP="00E065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Организационен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Възможност за разширя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ване на подадената информация от външен източник за насочване на вниманието към некорек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тен служител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Брой регистрирани </w:t>
            </w:r>
            <w:r w:rsidRPr="00496C71">
              <w:rPr>
                <w:rFonts w:cs="Times New Roman"/>
                <w:color w:val="000000" w:themeColor="text1"/>
                <w:sz w:val="18"/>
                <w:szCs w:val="18"/>
              </w:rPr>
              <w:t>анкетни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карти, в които се съдържа информация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з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а корупционно поведение на служител</w:t>
            </w:r>
          </w:p>
        </w:tc>
        <w:tc>
          <w:tcPr>
            <w:tcW w:w="1693" w:type="dxa"/>
            <w:gridSpan w:val="4"/>
          </w:tcPr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ЧРУС;</w:t>
            </w:r>
          </w:p>
          <w:p w:rsidR="00E06558" w:rsidRPr="00BD7541" w:rsidRDefault="00E06558" w:rsidP="00E0655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АРОК</w:t>
            </w:r>
          </w:p>
        </w:tc>
        <w:tc>
          <w:tcPr>
            <w:tcW w:w="1668" w:type="dxa"/>
            <w:gridSpan w:val="2"/>
          </w:tcPr>
          <w:p w:rsidR="00E06558" w:rsidRPr="00715870" w:rsidRDefault="00E06558" w:rsidP="00E06558">
            <w:pPr>
              <w:ind w:right="-110"/>
              <w:rPr>
                <w:sz w:val="18"/>
                <w:szCs w:val="18"/>
              </w:rPr>
            </w:pPr>
            <w:r w:rsidRPr="00CF6153">
              <w:rPr>
                <w:sz w:val="18"/>
                <w:szCs w:val="18"/>
              </w:rPr>
              <w:t xml:space="preserve">Попълнени са </w:t>
            </w:r>
            <w:r>
              <w:rPr>
                <w:sz w:val="18"/>
                <w:szCs w:val="18"/>
              </w:rPr>
              <w:t xml:space="preserve">общо 89 </w:t>
            </w:r>
            <w:r w:rsidRPr="00BF37F8">
              <w:rPr>
                <w:sz w:val="18"/>
                <w:szCs w:val="18"/>
              </w:rPr>
              <w:t>бр.</w:t>
            </w:r>
            <w:r>
              <w:rPr>
                <w:sz w:val="18"/>
                <w:szCs w:val="18"/>
              </w:rPr>
              <w:t xml:space="preserve"> а</w:t>
            </w:r>
            <w:r w:rsidRPr="00CF6153">
              <w:rPr>
                <w:sz w:val="18"/>
                <w:szCs w:val="18"/>
              </w:rPr>
              <w:t>нкетни карти в структурата на АПИ за „обратна връзка“ с потреби</w:t>
            </w:r>
            <w:r>
              <w:rPr>
                <w:sz w:val="18"/>
                <w:szCs w:val="18"/>
              </w:rPr>
              <w:t>-</w:t>
            </w:r>
            <w:r w:rsidRPr="00CF6153">
              <w:rPr>
                <w:sz w:val="18"/>
                <w:szCs w:val="18"/>
              </w:rPr>
              <w:t>теля за извършена адм</w:t>
            </w:r>
            <w:r>
              <w:rPr>
                <w:sz w:val="18"/>
                <w:szCs w:val="18"/>
              </w:rPr>
              <w:t>инистративна</w:t>
            </w:r>
            <w:r w:rsidRPr="00CF6153">
              <w:rPr>
                <w:sz w:val="18"/>
                <w:szCs w:val="18"/>
              </w:rPr>
              <w:t xml:space="preserve"> услуга. В </w:t>
            </w:r>
            <w:r>
              <w:rPr>
                <w:sz w:val="18"/>
                <w:szCs w:val="18"/>
              </w:rPr>
              <w:t xml:space="preserve">една от тях е посочено, че е поискан подкуп, но </w:t>
            </w:r>
            <w:r w:rsidRPr="00CF6153">
              <w:rPr>
                <w:sz w:val="18"/>
                <w:szCs w:val="18"/>
              </w:rPr>
              <w:t xml:space="preserve">същата </w:t>
            </w:r>
            <w:r>
              <w:rPr>
                <w:sz w:val="18"/>
                <w:szCs w:val="18"/>
              </w:rPr>
              <w:t>е</w:t>
            </w:r>
            <w:r w:rsidRPr="00CF6153">
              <w:rPr>
                <w:sz w:val="18"/>
                <w:szCs w:val="18"/>
              </w:rPr>
              <w:t xml:space="preserve"> анонимн</w:t>
            </w:r>
            <w:r>
              <w:rPr>
                <w:sz w:val="18"/>
                <w:szCs w:val="18"/>
              </w:rPr>
              <w:t>а</w:t>
            </w:r>
            <w:r w:rsidRPr="00CF6153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в нея не се съдържа никаква конкретика по случая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75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E06558" w:rsidRDefault="00E06558" w:rsidP="00E06558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E06558" w:rsidTr="007B4EAA">
        <w:trPr>
          <w:trHeight w:val="301"/>
        </w:trPr>
        <w:tc>
          <w:tcPr>
            <w:tcW w:w="1828" w:type="dxa"/>
            <w:shd w:val="clear" w:color="auto" w:fill="E2EFD9" w:themeFill="accent6" w:themeFillTint="33"/>
          </w:tcPr>
          <w:p w:rsidR="00E06558" w:rsidRPr="00AC6CE7" w:rsidRDefault="00E06558" w:rsidP="00E06558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16" w:type="dxa"/>
            <w:gridSpan w:val="5"/>
            <w:shd w:val="clear" w:color="auto" w:fill="E2EFD9" w:themeFill="accent6" w:themeFillTint="33"/>
          </w:tcPr>
          <w:p w:rsidR="00E06558" w:rsidRPr="00AC6CE7" w:rsidRDefault="00E06558" w:rsidP="00E06558">
            <w:pPr>
              <w:jc w:val="center"/>
            </w:pPr>
            <w:r>
              <w:t>Индикатор</w:t>
            </w:r>
          </w:p>
        </w:tc>
        <w:tc>
          <w:tcPr>
            <w:tcW w:w="1477" w:type="dxa"/>
            <w:gridSpan w:val="3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Причини при неизпълнение</w:t>
            </w:r>
          </w:p>
        </w:tc>
      </w:tr>
      <w:tr w:rsidR="00742502" w:rsidTr="007B4EAA">
        <w:trPr>
          <w:trHeight w:val="1412"/>
        </w:trPr>
        <w:tc>
          <w:tcPr>
            <w:tcW w:w="1828" w:type="dxa"/>
          </w:tcPr>
          <w:p w:rsidR="00742502" w:rsidRPr="009467C3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 опит за в</w:t>
            </w:r>
            <w:r w:rsidRPr="009467C3">
              <w:rPr>
                <w:sz w:val="18"/>
                <w:szCs w:val="18"/>
              </w:rPr>
              <w:t>лияние на чужди интереси с цел получаване на изгода</w:t>
            </w:r>
          </w:p>
        </w:tc>
        <w:tc>
          <w:tcPr>
            <w:tcW w:w="1997" w:type="dxa"/>
            <w:shd w:val="clear" w:color="auto" w:fill="auto"/>
          </w:tcPr>
          <w:p w:rsidR="00742502" w:rsidRDefault="00742502" w:rsidP="00742502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 xml:space="preserve">Недопускане на индивидуална комуникация между заявители – физически лица на административна услуга 1737 (Издаване на предварително съгласие за строителство в свлачищни райони) от Административния регистър към Интегрираната информационна система на държавната администрация и </w:t>
            </w:r>
            <w:r w:rsidRPr="00CC292B">
              <w:rPr>
                <w:sz w:val="18"/>
                <w:szCs w:val="18"/>
              </w:rPr>
              <w:lastRenderedPageBreak/>
              <w:t>служители от дирекция „Геозащита и благоустройствени дейности“ (ГБД), предоставящи услугата</w:t>
            </w:r>
          </w:p>
          <w:p w:rsidR="00742502" w:rsidRPr="00CC292B" w:rsidRDefault="00742502" w:rsidP="0074250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742502" w:rsidRPr="00CC292B" w:rsidRDefault="00742502" w:rsidP="00742502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</w:tcPr>
          <w:p w:rsidR="00742502" w:rsidRPr="00CC292B" w:rsidRDefault="00742502" w:rsidP="00742502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Ограничаване възможността на  субективния фактор да влияе върху процеса  и решението по предоставяне на услугата</w:t>
            </w:r>
          </w:p>
        </w:tc>
        <w:tc>
          <w:tcPr>
            <w:tcW w:w="1410" w:type="dxa"/>
            <w:gridSpan w:val="2"/>
          </w:tcPr>
          <w:p w:rsidR="00742502" w:rsidRPr="00CC292B" w:rsidRDefault="00742502" w:rsidP="00742502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Постоянен</w:t>
            </w:r>
          </w:p>
        </w:tc>
        <w:tc>
          <w:tcPr>
            <w:tcW w:w="2216" w:type="dxa"/>
            <w:gridSpan w:val="5"/>
          </w:tcPr>
          <w:p w:rsidR="00742502" w:rsidRPr="00CC292B" w:rsidRDefault="00742502" w:rsidP="00742502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Брой обработени искания за издаване на предварителни съгласия по чл. 96, ал. 3 и ал. 4 от Закон</w:t>
            </w:r>
            <w:r>
              <w:rPr>
                <w:sz w:val="18"/>
                <w:szCs w:val="18"/>
              </w:rPr>
              <w:t>а</w:t>
            </w:r>
            <w:r w:rsidRPr="00CC292B">
              <w:rPr>
                <w:sz w:val="18"/>
                <w:szCs w:val="18"/>
              </w:rPr>
              <w:t xml:space="preserve"> за устройство на територията</w:t>
            </w:r>
          </w:p>
        </w:tc>
        <w:tc>
          <w:tcPr>
            <w:tcW w:w="1477" w:type="dxa"/>
            <w:gridSpan w:val="3"/>
          </w:tcPr>
          <w:p w:rsidR="00742502" w:rsidRPr="00CC292B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на дирекция </w:t>
            </w:r>
            <w:r w:rsidRPr="00CC292B">
              <w:rPr>
                <w:sz w:val="18"/>
                <w:szCs w:val="18"/>
              </w:rPr>
              <w:t>ГБД в МРРБ</w:t>
            </w:r>
          </w:p>
        </w:tc>
        <w:tc>
          <w:tcPr>
            <w:tcW w:w="1668" w:type="dxa"/>
            <w:gridSpan w:val="2"/>
          </w:tcPr>
          <w:p w:rsidR="00742502" w:rsidRPr="00A16CD7" w:rsidRDefault="00742502" w:rsidP="007425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A16CD7">
              <w:rPr>
                <w:color w:val="000000" w:themeColor="text1"/>
                <w:sz w:val="18"/>
                <w:szCs w:val="18"/>
              </w:rPr>
              <w:t xml:space="preserve">бработени </w:t>
            </w:r>
            <w:r w:rsidR="00F134C9">
              <w:rPr>
                <w:color w:val="000000" w:themeColor="text1"/>
                <w:sz w:val="18"/>
                <w:szCs w:val="18"/>
              </w:rPr>
              <w:t>са 6</w:t>
            </w:r>
            <w:r w:rsidRPr="00A16CD7">
              <w:rPr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бр.</w:t>
            </w:r>
            <w:r w:rsidRPr="00A16CD7">
              <w:rPr>
                <w:bCs/>
                <w:color w:val="000000" w:themeColor="text1"/>
                <w:sz w:val="18"/>
                <w:szCs w:val="18"/>
              </w:rPr>
              <w:t xml:space="preserve"> постъпили искания</w:t>
            </w:r>
            <w:r w:rsidRPr="00A16CD7">
              <w:rPr>
                <w:color w:val="000000" w:themeColor="text1"/>
                <w:sz w:val="18"/>
                <w:szCs w:val="18"/>
              </w:rPr>
              <w:t xml:space="preserve"> във връзка с инвестиционни намерения в свлачищни райони, в т.ч.:</w:t>
            </w:r>
          </w:p>
          <w:p w:rsidR="00742502" w:rsidRPr="00A16CD7" w:rsidRDefault="00560B82" w:rsidP="007425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- 15 </w:t>
            </w:r>
            <w:r w:rsidR="00742502" w:rsidRPr="00A16CD7">
              <w:rPr>
                <w:color w:val="000000" w:themeColor="text1"/>
                <w:sz w:val="18"/>
                <w:szCs w:val="18"/>
              </w:rPr>
              <w:t>бр. предварителни съгласия за геозащитни мерки и дейности;</w:t>
            </w:r>
          </w:p>
          <w:p w:rsidR="00742502" w:rsidRPr="00A16CD7" w:rsidRDefault="00C1100B" w:rsidP="007425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- 7 </w:t>
            </w:r>
            <w:r w:rsidR="00742502" w:rsidRPr="00A16CD7">
              <w:rPr>
                <w:color w:val="000000" w:themeColor="text1"/>
                <w:sz w:val="18"/>
                <w:szCs w:val="18"/>
              </w:rPr>
              <w:t xml:space="preserve">бр. предварителни съгласия за строителство на </w:t>
            </w:r>
            <w:r w:rsidR="00742502" w:rsidRPr="00A16CD7">
              <w:rPr>
                <w:color w:val="000000" w:themeColor="text1"/>
                <w:sz w:val="18"/>
                <w:szCs w:val="18"/>
              </w:rPr>
              <w:lastRenderedPageBreak/>
              <w:t>сгради и съоръжения;</w:t>
            </w:r>
          </w:p>
          <w:p w:rsidR="00742502" w:rsidRPr="00A16CD7" w:rsidRDefault="00C1100B" w:rsidP="007425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- 47 </w:t>
            </w:r>
            <w:r w:rsidR="00742502" w:rsidRPr="00A16CD7">
              <w:rPr>
                <w:color w:val="000000" w:themeColor="text1"/>
                <w:sz w:val="18"/>
                <w:szCs w:val="18"/>
              </w:rPr>
              <w:t>бр. писма с указания и др. кореспонденция по въпроси свързани със строителство в свлачищни райони.</w:t>
            </w:r>
          </w:p>
          <w:p w:rsidR="00742502" w:rsidRPr="00F851FC" w:rsidRDefault="00574099" w:rsidP="00742502">
            <w:r>
              <w:rPr>
                <w:color w:val="000000" w:themeColor="text1"/>
                <w:sz w:val="18"/>
                <w:szCs w:val="18"/>
              </w:rPr>
              <w:t xml:space="preserve">Издадени са и 22 </w:t>
            </w:r>
            <w:r w:rsidR="00742502" w:rsidRPr="00A16CD7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бр</w:t>
            </w:r>
            <w:r w:rsidR="00742502" w:rsidRPr="00A16CD7">
              <w:rPr>
                <w:rFonts w:eastAsia="Times New Roman"/>
                <w:color w:val="000000" w:themeColor="text1"/>
                <w:sz w:val="18"/>
                <w:szCs w:val="18"/>
              </w:rPr>
              <w:t>. заповеди за прекрат</w:t>
            </w:r>
            <w:r w:rsidR="00742502" w:rsidRPr="00A16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я</w:t>
            </w:r>
            <w:r w:rsidR="00742502" w:rsidRPr="00A16CD7">
              <w:rPr>
                <w:rFonts w:eastAsia="Times New Roman"/>
                <w:color w:val="000000" w:themeColor="text1"/>
                <w:sz w:val="18"/>
                <w:szCs w:val="18"/>
              </w:rPr>
              <w:t>ване на произв</w:t>
            </w:r>
            <w:r w:rsidR="00742502">
              <w:rPr>
                <w:rFonts w:eastAsia="Times New Roman"/>
                <w:color w:val="000000" w:themeColor="text1"/>
                <w:sz w:val="18"/>
                <w:szCs w:val="18"/>
              </w:rPr>
              <w:t>одство по реда на чл. 5в от ЗУТ</w:t>
            </w:r>
          </w:p>
        </w:tc>
        <w:tc>
          <w:tcPr>
            <w:tcW w:w="1843" w:type="dxa"/>
          </w:tcPr>
          <w:p w:rsidR="00742502" w:rsidRDefault="00742502" w:rsidP="00742502"/>
        </w:tc>
      </w:tr>
      <w:tr w:rsidR="00742502" w:rsidTr="007B4EAA">
        <w:trPr>
          <w:trHeight w:val="667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42502" w:rsidRDefault="00742502" w:rsidP="00742502"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742502" w:rsidTr="007B4EAA">
        <w:trPr>
          <w:trHeight w:val="1234"/>
        </w:trPr>
        <w:tc>
          <w:tcPr>
            <w:tcW w:w="1828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742502" w:rsidRDefault="00742502" w:rsidP="00742502">
            <w:pPr>
              <w:ind w:right="-105"/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>
              <w:t>Причини при неизпълнение</w:t>
            </w:r>
          </w:p>
        </w:tc>
      </w:tr>
      <w:tr w:rsidR="00742502" w:rsidTr="007B4EAA">
        <w:trPr>
          <w:trHeight w:val="987"/>
        </w:trPr>
        <w:tc>
          <w:tcPr>
            <w:tcW w:w="1828" w:type="dxa"/>
          </w:tcPr>
          <w:p w:rsidR="00742502" w:rsidRPr="00206855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06855">
              <w:rPr>
                <w:sz w:val="18"/>
                <w:szCs w:val="18"/>
              </w:rPr>
              <w:t>дентифициран</w:t>
            </w:r>
            <w:r>
              <w:rPr>
                <w:sz w:val="18"/>
                <w:szCs w:val="18"/>
              </w:rPr>
              <w:t>и</w:t>
            </w:r>
            <w:r w:rsidRPr="00206855">
              <w:rPr>
                <w:sz w:val="18"/>
                <w:szCs w:val="18"/>
              </w:rPr>
              <w:t xml:space="preserve"> пропуски</w:t>
            </w:r>
            <w:r>
              <w:rPr>
                <w:sz w:val="18"/>
                <w:szCs w:val="18"/>
              </w:rPr>
              <w:t xml:space="preserve"> </w:t>
            </w:r>
            <w:r w:rsidRPr="00206855">
              <w:rPr>
                <w:sz w:val="18"/>
                <w:szCs w:val="18"/>
              </w:rPr>
              <w:t>при провеждане на обществени поръчки</w:t>
            </w:r>
          </w:p>
        </w:tc>
        <w:tc>
          <w:tcPr>
            <w:tcW w:w="1997" w:type="dxa"/>
            <w:shd w:val="clear" w:color="auto" w:fill="auto"/>
          </w:tcPr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410AFA">
              <w:rPr>
                <w:rFonts w:cs="Times New Roman"/>
                <w:sz w:val="18"/>
                <w:szCs w:val="18"/>
              </w:rPr>
              <w:t>Провеждане на обучения на бенефициенти, свързани с указания за сключване на договори за предоставяне на безвъзмездна финансова помощ;</w:t>
            </w:r>
            <w:r w:rsidRPr="00410AFA">
              <w:rPr>
                <w:rFonts w:cs="Times New Roman"/>
                <w:sz w:val="18"/>
                <w:szCs w:val="18"/>
              </w:rPr>
              <w:br/>
              <w:t>Публикуване на интернет страницата на добри практики, които да служат на бенефициентите при провеждане на обществени поръчки;</w:t>
            </w:r>
            <w:r w:rsidRPr="00410AFA">
              <w:rPr>
                <w:rFonts w:cs="Times New Roman"/>
                <w:sz w:val="18"/>
                <w:szCs w:val="18"/>
              </w:rPr>
              <w:br/>
              <w:t xml:space="preserve">Публикуване на интернет страницата на анализ на най-често срещаните нарушения при възлагане на </w:t>
            </w:r>
            <w:r w:rsidRPr="00410AFA">
              <w:rPr>
                <w:rFonts w:cs="Times New Roman"/>
                <w:sz w:val="18"/>
                <w:szCs w:val="18"/>
              </w:rPr>
              <w:lastRenderedPageBreak/>
              <w:t>обществени поръчки, установени при контрол на обществени поръчки, както и установени в одитната практика;</w:t>
            </w:r>
            <w:r w:rsidRPr="00410AFA">
              <w:rPr>
                <w:rFonts w:cs="Times New Roman"/>
                <w:sz w:val="18"/>
                <w:szCs w:val="18"/>
              </w:rPr>
              <w:br/>
              <w:t>Провеждане на разяснителни кампании за бенефициенти, с цел избягване на неефективно разходване на средства от ЕС</w:t>
            </w:r>
          </w:p>
          <w:p w:rsidR="00742502" w:rsidRPr="00683EE5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42502" w:rsidRPr="00683EE5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42502" w:rsidRPr="00683EE5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83EE5">
              <w:rPr>
                <w:rFonts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83EE5">
              <w:rPr>
                <w:rFonts w:cs="Times New Roman"/>
                <w:sz w:val="18"/>
                <w:szCs w:val="18"/>
              </w:rPr>
              <w:t>ЕФРР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42502" w:rsidRPr="00683EE5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83EE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42502" w:rsidRPr="00683EE5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83EE5">
              <w:rPr>
                <w:rFonts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cs="Times New Roman"/>
                <w:sz w:val="18"/>
                <w:szCs w:val="18"/>
              </w:rPr>
              <w:t>ДБФП</w:t>
            </w:r>
            <w:r>
              <w:rPr>
                <w:rFonts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cs="Times New Roman"/>
                <w:sz w:val="18"/>
                <w:szCs w:val="18"/>
              </w:rPr>
              <w:t>законосъобраз</w:t>
            </w:r>
            <w:r>
              <w:rPr>
                <w:rFonts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42502" w:rsidRPr="00683EE5" w:rsidRDefault="00742502" w:rsidP="00742502">
            <w:pPr>
              <w:ind w:left="-7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cs="Times New Roman"/>
                <w:sz w:val="18"/>
                <w:szCs w:val="18"/>
              </w:rPr>
              <w:t>и началници</w:t>
            </w:r>
            <w:r>
              <w:rPr>
                <w:rFonts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ГД </w:t>
            </w:r>
            <w:r w:rsidRPr="0036641E">
              <w:rPr>
                <w:rFonts w:cs="Times New Roman"/>
                <w:sz w:val="18"/>
                <w:szCs w:val="18"/>
              </w:rPr>
              <w:t>СППРР</w:t>
            </w:r>
            <w:r>
              <w:rPr>
                <w:rFonts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668" w:type="dxa"/>
            <w:gridSpan w:val="2"/>
          </w:tcPr>
          <w:p w:rsidR="00742502" w:rsidRPr="003B3003" w:rsidRDefault="00591452" w:rsidP="00742502">
            <w:pPr>
              <w:rPr>
                <w:sz w:val="18"/>
                <w:szCs w:val="18"/>
              </w:rPr>
            </w:pPr>
            <w:r w:rsidRPr="003B3003">
              <w:rPr>
                <w:sz w:val="18"/>
                <w:szCs w:val="18"/>
              </w:rPr>
              <w:t xml:space="preserve">Проведени </w:t>
            </w:r>
            <w:r w:rsidR="003B3003" w:rsidRPr="003B3003">
              <w:rPr>
                <w:sz w:val="18"/>
                <w:szCs w:val="18"/>
              </w:rPr>
              <w:t>11</w:t>
            </w:r>
            <w:r w:rsidRPr="003B3003">
              <w:rPr>
                <w:sz w:val="18"/>
                <w:szCs w:val="18"/>
              </w:rPr>
              <w:t xml:space="preserve"> бр. информационни събития с над 5</w:t>
            </w:r>
            <w:r w:rsidR="003B3003" w:rsidRPr="003B3003">
              <w:rPr>
                <w:sz w:val="18"/>
                <w:szCs w:val="18"/>
              </w:rPr>
              <w:t>30</w:t>
            </w:r>
            <w:r w:rsidRPr="003B3003">
              <w:rPr>
                <w:sz w:val="18"/>
                <w:szCs w:val="18"/>
              </w:rPr>
              <w:t xml:space="preserve"> бр. представители на местните власти, администрация, НПО, бизнес, граждани, заинтересовани лица и медии;</w:t>
            </w:r>
          </w:p>
          <w:p w:rsidR="00742502" w:rsidRPr="000E552C" w:rsidRDefault="00470326" w:rsidP="0074250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Проведени </w:t>
            </w:r>
            <w:r w:rsidR="003B3003">
              <w:rPr>
                <w:rFonts w:cs="Times New Roman"/>
                <w:sz w:val="18"/>
                <w:szCs w:val="18"/>
              </w:rPr>
              <w:t xml:space="preserve">са </w:t>
            </w:r>
            <w:r w:rsidR="00742502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бр.</w:t>
            </w:r>
            <w:r w:rsidR="00742502">
              <w:rPr>
                <w:rFonts w:cs="Times New Roman"/>
                <w:sz w:val="18"/>
                <w:szCs w:val="18"/>
              </w:rPr>
              <w:t xml:space="preserve"> обучения</w:t>
            </w:r>
            <w:r w:rsidR="00591452">
              <w:rPr>
                <w:rFonts w:cs="Times New Roman"/>
                <w:sz w:val="18"/>
                <w:szCs w:val="18"/>
              </w:rPr>
              <w:t xml:space="preserve"> - </w:t>
            </w:r>
            <w:r w:rsidR="00742502">
              <w:rPr>
                <w:rFonts w:cs="Times New Roman"/>
                <w:sz w:val="18"/>
                <w:szCs w:val="18"/>
              </w:rPr>
              <w:t>177 участника</w:t>
            </w:r>
          </w:p>
        </w:tc>
        <w:tc>
          <w:tcPr>
            <w:tcW w:w="1843" w:type="dxa"/>
          </w:tcPr>
          <w:p w:rsidR="00742502" w:rsidRDefault="00742502" w:rsidP="00742502"/>
        </w:tc>
      </w:tr>
      <w:tr w:rsidR="00742502" w:rsidTr="007B4EAA">
        <w:trPr>
          <w:trHeight w:val="987"/>
        </w:trPr>
        <w:tc>
          <w:tcPr>
            <w:tcW w:w="1828" w:type="dxa"/>
          </w:tcPr>
          <w:p w:rsidR="00742502" w:rsidRPr="002238C9" w:rsidRDefault="00742502" w:rsidP="00742502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>Недостатъчна квалификация на служителите в областта на противодействие на корупцията и конфликт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Pr="002238C9">
              <w:rPr>
                <w:rFonts w:cs="Times New Roman"/>
                <w:sz w:val="18"/>
                <w:szCs w:val="18"/>
              </w:rPr>
              <w:t xml:space="preserve"> на интереси</w:t>
            </w:r>
            <w:r w:rsidRPr="002238C9">
              <w:rPr>
                <w:rFonts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97" w:type="dxa"/>
          </w:tcPr>
          <w:p w:rsidR="00742502" w:rsidRPr="002238C9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Включване в личните планове за обучение на служителите на теми </w:t>
            </w:r>
            <w:r w:rsidRPr="002238C9">
              <w:rPr>
                <w:rFonts w:cs="Times New Roman"/>
                <w:sz w:val="18"/>
                <w:szCs w:val="18"/>
              </w:rPr>
              <w:t>в областта на противодействие на ко</w:t>
            </w:r>
            <w:r>
              <w:rPr>
                <w:rFonts w:cs="Times New Roman"/>
                <w:sz w:val="18"/>
                <w:szCs w:val="18"/>
              </w:rPr>
              <w:t>рупцията и конфликт на интереси</w:t>
            </w:r>
          </w:p>
        </w:tc>
        <w:tc>
          <w:tcPr>
            <w:tcW w:w="1845" w:type="dxa"/>
            <w:gridSpan w:val="3"/>
          </w:tcPr>
          <w:p w:rsidR="00742502" w:rsidRPr="002238C9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742502" w:rsidRDefault="00742502" w:rsidP="00742502">
            <w:pPr>
              <w:ind w:left="-105" w:right="-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Недопускане на корупционни практики и обстоятелства, които биха довели до възникване на конфликт на интереси, както и спазване на ограниченията в чл. 67,чл. 68 и чл. 69 от ЗПКОНПИ</w:t>
            </w:r>
          </w:p>
          <w:p w:rsidR="00742502" w:rsidRDefault="00742502" w:rsidP="00742502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  <w:p w:rsidR="00742502" w:rsidRPr="002238C9" w:rsidRDefault="00742502" w:rsidP="00742502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01.01.2022 г. –</w:t>
            </w:r>
          </w:p>
          <w:p w:rsidR="00742502" w:rsidRPr="002238C9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31.12.2022 г.</w:t>
            </w:r>
          </w:p>
        </w:tc>
        <w:tc>
          <w:tcPr>
            <w:tcW w:w="2277" w:type="dxa"/>
            <w:gridSpan w:val="6"/>
          </w:tcPr>
          <w:p w:rsidR="00742502" w:rsidRPr="002238C9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амаляване на възможни нарушения на ЗПКОНПИ и НОРИПДУКИ при изпълнение на служебни задължения</w:t>
            </w:r>
          </w:p>
        </w:tc>
        <w:tc>
          <w:tcPr>
            <w:tcW w:w="1416" w:type="dxa"/>
            <w:gridSpan w:val="2"/>
          </w:tcPr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Ръководители на структурни звена в МРРБ</w:t>
            </w: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Pr="00AA5952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742502" w:rsidRPr="00AA595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Pr="002238C9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Началник на ДНСК</w:t>
            </w:r>
          </w:p>
        </w:tc>
        <w:tc>
          <w:tcPr>
            <w:tcW w:w="1668" w:type="dxa"/>
            <w:gridSpan w:val="2"/>
          </w:tcPr>
          <w:p w:rsidR="00742502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Pr="000E552C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742502" w:rsidRDefault="00742502" w:rsidP="00742502"/>
        </w:tc>
      </w:tr>
      <w:tr w:rsidR="00742502" w:rsidTr="007B4EAA">
        <w:trPr>
          <w:trHeight w:val="52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42502" w:rsidRDefault="00742502" w:rsidP="00742502">
            <w:r>
              <w:t>Други мерки с оглед специфичните рискове в съответните ведомства</w:t>
            </w:r>
          </w:p>
        </w:tc>
      </w:tr>
      <w:tr w:rsidR="00742502" w:rsidTr="007B4EAA">
        <w:trPr>
          <w:trHeight w:val="270"/>
        </w:trPr>
        <w:tc>
          <w:tcPr>
            <w:tcW w:w="1828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42502" w:rsidRPr="00AC6CE7" w:rsidRDefault="00742502" w:rsidP="00742502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42502" w:rsidRPr="00AC6CE7" w:rsidRDefault="00742502" w:rsidP="00742502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742502" w:rsidRPr="000A6319" w:rsidRDefault="00742502" w:rsidP="00742502">
            <w:pPr>
              <w:jc w:val="center"/>
            </w:pPr>
            <w:r w:rsidRPr="000A6319"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42502" w:rsidRDefault="00742502" w:rsidP="00742502"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42502" w:rsidRDefault="00742502" w:rsidP="00742502">
            <w:r>
              <w:t>Причини при неизпълнение</w:t>
            </w:r>
          </w:p>
        </w:tc>
      </w:tr>
      <w:tr w:rsidR="00742502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742502" w:rsidRDefault="00742502" w:rsidP="00742502">
            <w:pPr>
              <w:rPr>
                <w:sz w:val="18"/>
                <w:szCs w:val="18"/>
              </w:rPr>
            </w:pPr>
            <w:r w:rsidRPr="00A00CE9">
              <w:rPr>
                <w:sz w:val="18"/>
                <w:szCs w:val="18"/>
              </w:rPr>
              <w:lastRenderedPageBreak/>
              <w:t xml:space="preserve">Риск свързан с </w:t>
            </w:r>
            <w:r>
              <w:rPr>
                <w:sz w:val="18"/>
                <w:szCs w:val="18"/>
              </w:rPr>
              <w:t>възможност</w:t>
            </w:r>
            <w:r w:rsidRPr="00A00CE9">
              <w:rPr>
                <w:sz w:val="18"/>
                <w:szCs w:val="18"/>
              </w:rPr>
              <w:t xml:space="preserve"> за търсене на отговорност на служителите</w:t>
            </w:r>
            <w:r>
              <w:rPr>
                <w:sz w:val="18"/>
                <w:szCs w:val="18"/>
              </w:rPr>
              <w:t xml:space="preserve"> </w:t>
            </w:r>
            <w:r w:rsidRPr="00A00CE9">
              <w:rPr>
                <w:sz w:val="18"/>
                <w:szCs w:val="18"/>
              </w:rPr>
              <w:t>във връзка с изпълнение на служебните им задължения</w:t>
            </w:r>
            <w:r>
              <w:rPr>
                <w:sz w:val="18"/>
                <w:szCs w:val="18"/>
              </w:rPr>
              <w:t xml:space="preserve"> и опити за влияние</w:t>
            </w:r>
          </w:p>
          <w:p w:rsidR="00742502" w:rsidRPr="00A00CE9" w:rsidRDefault="00742502" w:rsidP="00742502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742502" w:rsidRPr="00D61244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</w:t>
            </w:r>
            <w:r>
              <w:rPr>
                <w:rFonts w:cs="Times New Roman"/>
                <w:sz w:val="18"/>
                <w:szCs w:val="18"/>
              </w:rPr>
              <w:t>ние на служебните си задължения</w:t>
            </w:r>
            <w:r w:rsidRPr="00D61244">
              <w:rPr>
                <w:rFonts w:cs="Times New Roman"/>
                <w:sz w:val="18"/>
                <w:szCs w:val="18"/>
              </w:rPr>
              <w:t xml:space="preserve"> и имената им не се оповестяват на бенефициента, както и </w:t>
            </w:r>
            <w:r>
              <w:rPr>
                <w:rFonts w:cs="Times New Roman"/>
                <w:sz w:val="18"/>
                <w:szCs w:val="18"/>
              </w:rPr>
              <w:t>същите не осъществяват пря</w:t>
            </w:r>
            <w:r w:rsidRPr="00D61244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контакт</w:t>
            </w:r>
            <w:r w:rsidRPr="00D61244">
              <w:rPr>
                <w:rFonts w:cs="Times New Roman"/>
                <w:sz w:val="18"/>
                <w:szCs w:val="18"/>
              </w:rPr>
              <w:t xml:space="preserve"> с бенефициенти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42502" w:rsidRPr="00C03827" w:rsidRDefault="00742502" w:rsidP="00742502">
            <w:pPr>
              <w:ind w:right="-7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42502" w:rsidRPr="00C03827" w:rsidRDefault="00742502" w:rsidP="007425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42502" w:rsidRPr="00A30AC0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cs="Times New Roman"/>
                <w:sz w:val="18"/>
                <w:szCs w:val="18"/>
              </w:rPr>
              <w:t xml:space="preserve">на ГД </w:t>
            </w:r>
            <w:r w:rsidRPr="00D61244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42502" w:rsidRPr="00BE64EB" w:rsidRDefault="0059145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постоянно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742502" w:rsidRDefault="00742502" w:rsidP="00742502"/>
        </w:tc>
      </w:tr>
      <w:tr w:rsidR="00742502" w:rsidTr="00683B0F">
        <w:trPr>
          <w:trHeight w:val="1398"/>
        </w:trPr>
        <w:tc>
          <w:tcPr>
            <w:tcW w:w="1828" w:type="dxa"/>
            <w:shd w:val="clear" w:color="auto" w:fill="FFFFFF" w:themeFill="background1"/>
          </w:tcPr>
          <w:p w:rsidR="00742502" w:rsidRPr="00CD5D4D" w:rsidRDefault="00742502" w:rsidP="00742502">
            <w:pPr>
              <w:rPr>
                <w:sz w:val="18"/>
                <w:szCs w:val="18"/>
              </w:rPr>
            </w:pPr>
            <w:r w:rsidRPr="00CD5D4D">
              <w:rPr>
                <w:sz w:val="18"/>
                <w:szCs w:val="18"/>
              </w:rPr>
              <w:t>Риск свързан с възможност</w:t>
            </w:r>
            <w:r>
              <w:rPr>
                <w:sz w:val="18"/>
                <w:szCs w:val="18"/>
              </w:rPr>
              <w:t>та</w:t>
            </w:r>
            <w:r w:rsidRPr="00CD5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 се</w:t>
            </w:r>
            <w:r w:rsidRPr="00CD5D4D">
              <w:rPr>
                <w:sz w:val="18"/>
                <w:szCs w:val="18"/>
              </w:rPr>
              <w:t xml:space="preserve"> прилага различен подход от служители</w:t>
            </w:r>
            <w:r>
              <w:rPr>
                <w:sz w:val="18"/>
                <w:szCs w:val="18"/>
              </w:rPr>
              <w:t>те</w:t>
            </w:r>
            <w:r w:rsidRPr="00CD5D4D">
              <w:rPr>
                <w:sz w:val="18"/>
                <w:szCs w:val="18"/>
              </w:rPr>
              <w:t xml:space="preserve"> в процеса на верификация на разходите</w:t>
            </w:r>
          </w:p>
        </w:tc>
        <w:tc>
          <w:tcPr>
            <w:tcW w:w="1997" w:type="dxa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</w:t>
            </w:r>
            <w:r>
              <w:rPr>
                <w:rFonts w:cs="Times New Roman"/>
                <w:sz w:val="18"/>
                <w:szCs w:val="18"/>
              </w:rPr>
              <w:t>„Проверка в системата „АРАХНЕ“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42502" w:rsidRPr="00C03827" w:rsidRDefault="00742502" w:rsidP="0074250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Превенция на риска от корупция при процеса на проверка на законосъобраз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03827">
              <w:rPr>
                <w:rFonts w:cs="Times New Roman"/>
                <w:sz w:val="18"/>
                <w:szCs w:val="18"/>
              </w:rPr>
              <w:t>ното възлагане на обществената поръчка и сключения договор с изпълнител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42502" w:rsidRPr="00C03827" w:rsidRDefault="00742502" w:rsidP="0074250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742502" w:rsidRPr="00C03827" w:rsidRDefault="00742502" w:rsidP="0074250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42502" w:rsidRPr="00A30AC0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cs="Times New Roman"/>
                <w:sz w:val="18"/>
                <w:szCs w:val="18"/>
              </w:rPr>
              <w:t>и началници</w:t>
            </w:r>
            <w:r>
              <w:rPr>
                <w:rFonts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ГД </w:t>
            </w:r>
            <w:r w:rsidRPr="0036641E">
              <w:rPr>
                <w:rFonts w:cs="Times New Roman"/>
                <w:sz w:val="18"/>
                <w:szCs w:val="18"/>
              </w:rPr>
              <w:t>СППРР</w:t>
            </w:r>
            <w:r>
              <w:rPr>
                <w:rFonts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9A0C39" w:rsidRDefault="009A0C39" w:rsidP="009A0C39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</w:p>
          <w:p w:rsidR="00742502" w:rsidRPr="00BE64EB" w:rsidRDefault="009A0C39" w:rsidP="009A0C3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Налице е 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актуална ве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рсия 12 на НУИОПРР 2014-2020 г., в която с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регламентирани промени в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контрол</w:t>
            </w:r>
            <w:r w:rsidR="00AD578C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ите листове, базирани </w:t>
            </w:r>
            <w:r w:rsidRPr="00683B0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ИСУН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2020). Всички контролни листове са в електронен вариант и се попълват чрез системата. Проверките от „АРАХНЕ“ се добавят като прикачен фай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л към попълнения контролен лист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742502" w:rsidRDefault="00742502" w:rsidP="00742502"/>
        </w:tc>
      </w:tr>
      <w:tr w:rsidR="00742502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свързан с възможност от възникване на нарушения, когато проектите се управляват от същата администрация</w:t>
            </w:r>
          </w:p>
          <w:p w:rsidR="00742502" w:rsidRDefault="00742502" w:rsidP="00742502"/>
        </w:tc>
        <w:tc>
          <w:tcPr>
            <w:tcW w:w="1997" w:type="dxa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</w:t>
            </w:r>
            <w:r w:rsidRPr="00C03827">
              <w:rPr>
                <w:rFonts w:cs="Times New Roman"/>
                <w:sz w:val="18"/>
                <w:szCs w:val="18"/>
              </w:rPr>
              <w:lastRenderedPageBreak/>
              <w:t>ос "Техническа помощ" на ОПРР 2014-2020 с бенефициент ГД СППРР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42502" w:rsidRPr="00C03827" w:rsidRDefault="00742502" w:rsidP="0074250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42502" w:rsidRPr="00C03827" w:rsidRDefault="00742502" w:rsidP="0074250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742502" w:rsidRPr="00C03827" w:rsidRDefault="00742502" w:rsidP="0074250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42502" w:rsidRPr="00A30AC0" w:rsidRDefault="00742502" w:rsidP="00742502">
            <w:pPr>
              <w:ind w:left="-59" w:right="-108"/>
              <w:rPr>
                <w:rFonts w:cs="Times New Roman"/>
                <w:sz w:val="18"/>
                <w:szCs w:val="18"/>
              </w:rPr>
            </w:pPr>
            <w:r w:rsidRPr="00E136B3">
              <w:rPr>
                <w:rFonts w:cs="Times New Roman"/>
                <w:sz w:val="18"/>
                <w:szCs w:val="18"/>
              </w:rPr>
              <w:t>Началници на отдели - ползватели на бюджетните линии на УО по Приорите</w:t>
            </w:r>
            <w:r>
              <w:rPr>
                <w:rFonts w:cs="Times New Roman"/>
                <w:sz w:val="18"/>
                <w:szCs w:val="18"/>
              </w:rPr>
              <w:t xml:space="preserve">тна ос "Техническа помощ" в ГД </w:t>
            </w:r>
            <w:r w:rsidRPr="00E136B3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B17DEA" w:rsidRDefault="00B17DEA" w:rsidP="00B17DEA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  <w:r w:rsidRPr="001148F5">
              <w:rPr>
                <w:sz w:val="18"/>
                <w:szCs w:val="18"/>
              </w:rPr>
              <w:t xml:space="preserve"> </w:t>
            </w:r>
          </w:p>
          <w:p w:rsidR="00742502" w:rsidRPr="00BE64EB" w:rsidRDefault="00B17DEA" w:rsidP="00B1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148F5">
              <w:rPr>
                <w:sz w:val="18"/>
                <w:szCs w:val="18"/>
              </w:rPr>
              <w:t xml:space="preserve">огато бенефициент е УО на ОПРР, осъществяването на проверките и изготвянето на предложения за верификация на разходи по </w:t>
            </w:r>
            <w:r w:rsidRPr="001148F5">
              <w:rPr>
                <w:sz w:val="18"/>
                <w:szCs w:val="18"/>
              </w:rPr>
              <w:lastRenderedPageBreak/>
              <w:t>бюджетни линии по ПО Техническа помощ на ОПРР 2014-2020, същите се извършват от външен изпълнител/</w:t>
            </w:r>
            <w:r>
              <w:rPr>
                <w:sz w:val="18"/>
                <w:szCs w:val="18"/>
              </w:rPr>
              <w:t xml:space="preserve"> </w:t>
            </w:r>
            <w:r w:rsidRPr="001148F5">
              <w:rPr>
                <w:sz w:val="18"/>
                <w:szCs w:val="18"/>
              </w:rPr>
              <w:t>организация в съответствие със</w:t>
            </w:r>
            <w:r>
              <w:rPr>
                <w:sz w:val="18"/>
                <w:szCs w:val="18"/>
              </w:rPr>
              <w:t xml:space="preserve"> записаното в НУИОПРР 2014-2020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742502" w:rsidRDefault="00742502" w:rsidP="00742502"/>
        </w:tc>
      </w:tr>
      <w:tr w:rsidR="00742502" w:rsidTr="000E3440">
        <w:trPr>
          <w:trHeight w:val="3226"/>
        </w:trPr>
        <w:tc>
          <w:tcPr>
            <w:tcW w:w="1828" w:type="dxa"/>
            <w:shd w:val="clear" w:color="auto" w:fill="auto"/>
          </w:tcPr>
          <w:p w:rsidR="00742502" w:rsidRDefault="00742502" w:rsidP="00742502">
            <w:r>
              <w:rPr>
                <w:rFonts w:cs="Times New Roman"/>
                <w:sz w:val="18"/>
                <w:szCs w:val="18"/>
              </w:rPr>
              <w:t>Риск от възникване на к</w:t>
            </w:r>
            <w:r w:rsidRPr="007E2DA0">
              <w:rPr>
                <w:rFonts w:cs="Times New Roman"/>
                <w:sz w:val="18"/>
                <w:szCs w:val="18"/>
              </w:rPr>
              <w:t xml:space="preserve">онфликт на интереси </w:t>
            </w:r>
            <w:r w:rsidRPr="002634F8">
              <w:rPr>
                <w:rFonts w:cs="Times New Roman"/>
                <w:sz w:val="18"/>
                <w:szCs w:val="18"/>
              </w:rPr>
              <w:t>между партньор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2634F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по проекти </w:t>
            </w:r>
            <w:r w:rsidRPr="002634F8">
              <w:rPr>
                <w:rFonts w:cs="Times New Roman"/>
                <w:sz w:val="18"/>
                <w:szCs w:val="18"/>
              </w:rPr>
              <w:t>и контрольор</w:t>
            </w:r>
            <w:r>
              <w:rPr>
                <w:rFonts w:cs="Times New Roman"/>
                <w:sz w:val="18"/>
                <w:szCs w:val="18"/>
              </w:rPr>
              <w:t>и първо ниво на контрол</w:t>
            </w:r>
          </w:p>
        </w:tc>
        <w:tc>
          <w:tcPr>
            <w:tcW w:w="1997" w:type="dxa"/>
            <w:shd w:val="clear" w:color="auto" w:fill="auto"/>
          </w:tcPr>
          <w:p w:rsidR="00742502" w:rsidRPr="00D61244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645FCE">
              <w:rPr>
                <w:rFonts w:cs="Times New Roman"/>
                <w:sz w:val="18"/>
                <w:szCs w:val="18"/>
              </w:rPr>
              <w:t xml:space="preserve">роверка на извадков принцип на представената информация за липсата на конфликт на интереси между партньора и контрольора </w:t>
            </w:r>
            <w:r>
              <w:rPr>
                <w:rFonts w:cs="Times New Roman"/>
                <w:sz w:val="18"/>
                <w:szCs w:val="18"/>
              </w:rPr>
              <w:t xml:space="preserve">при извършване на процедура за определяне на контрольор за извършване на ПНК по проектите. </w:t>
            </w:r>
            <w:r w:rsidRPr="00645FCE">
              <w:rPr>
                <w:rFonts w:cs="Times New Roman"/>
                <w:sz w:val="18"/>
                <w:szCs w:val="18"/>
              </w:rPr>
              <w:t>Прилагане на контрол</w:t>
            </w:r>
            <w:r>
              <w:rPr>
                <w:rFonts w:cs="Times New Roman"/>
                <w:sz w:val="18"/>
                <w:szCs w:val="18"/>
              </w:rPr>
              <w:t>ен</w:t>
            </w:r>
            <w:r w:rsidRPr="00645FCE">
              <w:rPr>
                <w:rFonts w:cs="Times New Roman"/>
                <w:sz w:val="18"/>
                <w:szCs w:val="18"/>
              </w:rPr>
              <w:t xml:space="preserve"> лист за проверка</w:t>
            </w:r>
            <w:r>
              <w:rPr>
                <w:rFonts w:cs="Times New Roman"/>
                <w:sz w:val="18"/>
                <w:szCs w:val="18"/>
              </w:rPr>
              <w:t>та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45FCE">
              <w:rPr>
                <w:rFonts w:cs="Times New Roman"/>
                <w:sz w:val="18"/>
                <w:szCs w:val="18"/>
              </w:rPr>
              <w:t xml:space="preserve">Превенция на риска от конфликт на интереси при процеса на </w:t>
            </w:r>
            <w:r w:rsidRPr="00700B37">
              <w:rPr>
                <w:rFonts w:cs="Times New Roman"/>
                <w:sz w:val="18"/>
                <w:szCs w:val="18"/>
              </w:rPr>
              <w:t xml:space="preserve">определяне на контрольор за извършване на ПНК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42502" w:rsidRPr="00ED75B9" w:rsidRDefault="00742502" w:rsidP="007425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Изготвени доклади в резултат от извършените проверки </w:t>
            </w:r>
            <w:r w:rsidRPr="00817841">
              <w:rPr>
                <w:rFonts w:cs="Times New Roman"/>
                <w:sz w:val="18"/>
                <w:szCs w:val="18"/>
              </w:rPr>
              <w:t xml:space="preserve">без констатирани данни за конфликт на интереси </w:t>
            </w:r>
            <w:r>
              <w:rPr>
                <w:rFonts w:cs="Times New Roman"/>
                <w:sz w:val="18"/>
                <w:szCs w:val="18"/>
              </w:rPr>
              <w:t>с приложени към тях контролни листове</w:t>
            </w:r>
            <w:r w:rsidRPr="0081784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42502" w:rsidRPr="00A30AC0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521B4B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в о</w:t>
            </w:r>
            <w:r w:rsidRPr="00521B4B">
              <w:rPr>
                <w:rFonts w:cs="Times New Roman"/>
                <w:sz w:val="18"/>
                <w:szCs w:val="18"/>
              </w:rPr>
              <w:t>тдел „Програми ИНТЕРРЕГ</w:t>
            </w:r>
            <w:r>
              <w:rPr>
                <w:rFonts w:cs="Times New Roman"/>
                <w:sz w:val="18"/>
                <w:szCs w:val="18"/>
              </w:rPr>
              <w:t xml:space="preserve">“,  дирекция </w:t>
            </w:r>
            <w:r w:rsidRPr="00521B4B">
              <w:rPr>
                <w:rFonts w:cs="Times New Roman"/>
                <w:sz w:val="18"/>
                <w:szCs w:val="18"/>
              </w:rPr>
              <w:t>УТС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932E9A" w:rsidRDefault="00BE1CE7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Извършени 22 </w:t>
            </w:r>
            <w:r w:rsidR="00932E9A">
              <w:rPr>
                <w:sz w:val="18"/>
                <w:szCs w:val="18"/>
              </w:rPr>
              <w:t>бр. проверки:</w:t>
            </w:r>
          </w:p>
          <w:p w:rsidR="00932E9A" w:rsidRDefault="00932E9A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януари: 2;</w:t>
            </w:r>
          </w:p>
          <w:p w:rsidR="00932E9A" w:rsidRDefault="00932E9A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февруари: 5;</w:t>
            </w:r>
          </w:p>
          <w:p w:rsidR="00932E9A" w:rsidRDefault="00932E9A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март: 1;</w:t>
            </w:r>
          </w:p>
          <w:p w:rsidR="00932E9A" w:rsidRDefault="00932E9A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април: 3;</w:t>
            </w:r>
          </w:p>
          <w:p w:rsidR="00932E9A" w:rsidRDefault="00932E9A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май: 1;</w:t>
            </w:r>
          </w:p>
          <w:p w:rsidR="00932E9A" w:rsidRDefault="00BE1CE7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юни: 1;</w:t>
            </w:r>
          </w:p>
          <w:p w:rsidR="00BE1CE7" w:rsidRDefault="00BE1CE7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юли: 1;</w:t>
            </w:r>
          </w:p>
          <w:p w:rsidR="00FA6775" w:rsidRDefault="00FA6775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август: 4;</w:t>
            </w:r>
          </w:p>
          <w:p w:rsidR="00FA6775" w:rsidRDefault="00FA6775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септември: 1;</w:t>
            </w:r>
          </w:p>
          <w:p w:rsidR="00FA6775" w:rsidRDefault="00FA6775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октомври: 1;</w:t>
            </w:r>
          </w:p>
          <w:p w:rsidR="00FA6775" w:rsidRDefault="00FA6775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ноември: 1;</w:t>
            </w:r>
          </w:p>
          <w:p w:rsidR="00FA6775" w:rsidRDefault="00FA6775" w:rsidP="0093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декември: 1.</w:t>
            </w:r>
          </w:p>
          <w:p w:rsidR="00BE1CE7" w:rsidRDefault="00BE1CE7" w:rsidP="00932E9A">
            <w:pPr>
              <w:rPr>
                <w:sz w:val="18"/>
                <w:szCs w:val="18"/>
              </w:rPr>
            </w:pPr>
          </w:p>
          <w:p w:rsidR="00742502" w:rsidRPr="00C94EA5" w:rsidRDefault="00932E9A" w:rsidP="00932E9A">
            <w:r>
              <w:rPr>
                <w:sz w:val="18"/>
                <w:szCs w:val="18"/>
              </w:rPr>
              <w:t>Към момента не е установено съмнение за конфликт на интереси между партньор и контрольор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742502" w:rsidRDefault="00742502" w:rsidP="00742502"/>
        </w:tc>
      </w:tr>
      <w:tr w:rsidR="00742502" w:rsidTr="007B4EAA">
        <w:trPr>
          <w:trHeight w:val="549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42502" w:rsidRDefault="00742502" w:rsidP="00742502">
            <w:r>
              <w:t>Мерки за публичност</w:t>
            </w:r>
          </w:p>
        </w:tc>
      </w:tr>
      <w:tr w:rsidR="00742502" w:rsidTr="007B4EAA">
        <w:trPr>
          <w:trHeight w:val="557"/>
        </w:trPr>
        <w:tc>
          <w:tcPr>
            <w:tcW w:w="1828" w:type="dxa"/>
            <w:shd w:val="clear" w:color="auto" w:fill="E2EFD9" w:themeFill="accent6" w:themeFillTint="33"/>
          </w:tcPr>
          <w:p w:rsidR="00742502" w:rsidRPr="00AC6CE7" w:rsidRDefault="00742502" w:rsidP="00742502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990" w:type="dxa"/>
            <w:gridSpan w:val="2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 w:rsidRPr="00AC6CE7">
              <w:t>Описание на мярката</w:t>
            </w:r>
          </w:p>
          <w:p w:rsidR="00742502" w:rsidRDefault="00742502" w:rsidP="00742502">
            <w:pPr>
              <w:jc w:val="center"/>
            </w:pPr>
          </w:p>
        </w:tc>
        <w:tc>
          <w:tcPr>
            <w:tcW w:w="2839" w:type="dxa"/>
            <w:gridSpan w:val="4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3992" w:type="dxa"/>
            <w:gridSpan w:val="8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 w:rsidRPr="00AC6CE7">
              <w:t>Отговорно лице</w:t>
            </w:r>
          </w:p>
          <w:p w:rsidR="00742502" w:rsidRDefault="00742502" w:rsidP="00742502">
            <w:pPr>
              <w:jc w:val="center"/>
            </w:pPr>
          </w:p>
        </w:tc>
        <w:tc>
          <w:tcPr>
            <w:tcW w:w="1917" w:type="dxa"/>
            <w:gridSpan w:val="2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2027" w:type="dxa"/>
            <w:gridSpan w:val="2"/>
            <w:shd w:val="clear" w:color="auto" w:fill="E2EFD9" w:themeFill="accent6" w:themeFillTint="33"/>
          </w:tcPr>
          <w:p w:rsidR="00742502" w:rsidRDefault="00742502" w:rsidP="00742502">
            <w:pPr>
              <w:jc w:val="center"/>
            </w:pPr>
            <w:r>
              <w:t>Причини при неизпълнение</w:t>
            </w:r>
          </w:p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auto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свързан с липса на достатъчна осведоменост на гражданите за предприетите действия за превенция и </w:t>
            </w:r>
            <w:r>
              <w:rPr>
                <w:sz w:val="18"/>
                <w:szCs w:val="18"/>
              </w:rPr>
              <w:lastRenderedPageBreak/>
              <w:t xml:space="preserve">противодействие на корупцията </w:t>
            </w:r>
          </w:p>
        </w:tc>
        <w:tc>
          <w:tcPr>
            <w:tcW w:w="2990" w:type="dxa"/>
            <w:gridSpan w:val="2"/>
          </w:tcPr>
          <w:p w:rsidR="00742502" w:rsidRPr="006228EB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lastRenderedPageBreak/>
              <w:t>Редовно актуализиране на раздел „Антикорупция“ на интернет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228EB">
              <w:rPr>
                <w:rFonts w:cs="Times New Roman"/>
                <w:sz w:val="18"/>
                <w:szCs w:val="18"/>
              </w:rPr>
              <w:t xml:space="preserve"> страниц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6228EB"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6228EB">
              <w:rPr>
                <w:rFonts w:cs="Times New Roman"/>
                <w:sz w:val="18"/>
                <w:szCs w:val="18"/>
              </w:rPr>
              <w:t xml:space="preserve"> на МРРБ, </w:t>
            </w:r>
            <w:r>
              <w:rPr>
                <w:rFonts w:cs="Times New Roman"/>
                <w:sz w:val="18"/>
                <w:szCs w:val="18"/>
              </w:rPr>
              <w:t xml:space="preserve">АПИ и ДНСК, </w:t>
            </w:r>
            <w:r w:rsidRPr="006228EB">
              <w:rPr>
                <w:rFonts w:cs="Times New Roman"/>
                <w:sz w:val="18"/>
                <w:szCs w:val="18"/>
              </w:rPr>
              <w:t xml:space="preserve">съдържащ всички приложими и разработени във ведомството актове с антикорупционна насоченост, антикорупционни планове и отчети </w:t>
            </w:r>
            <w:r w:rsidRPr="006228EB">
              <w:rPr>
                <w:rFonts w:cs="Times New Roman"/>
                <w:sz w:val="18"/>
                <w:szCs w:val="18"/>
              </w:rPr>
              <w:lastRenderedPageBreak/>
              <w:t>за тяхното изпълнение</w:t>
            </w:r>
            <w:r>
              <w:rPr>
                <w:rFonts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2839" w:type="dxa"/>
            <w:gridSpan w:val="4"/>
          </w:tcPr>
          <w:p w:rsidR="00742502" w:rsidRPr="006228EB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3992" w:type="dxa"/>
            <w:gridSpan w:val="8"/>
          </w:tcPr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t xml:space="preserve">Ръководител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6228EB">
              <w:rPr>
                <w:rFonts w:cs="Times New Roman"/>
                <w:sz w:val="18"/>
                <w:szCs w:val="18"/>
              </w:rPr>
              <w:t xml:space="preserve">Инспекторат </w:t>
            </w:r>
            <w:r>
              <w:rPr>
                <w:rFonts w:cs="Times New Roman"/>
                <w:sz w:val="18"/>
                <w:szCs w:val="18"/>
              </w:rPr>
              <w:t>в</w:t>
            </w:r>
            <w:r w:rsidRPr="006228EB">
              <w:rPr>
                <w:rFonts w:cs="Times New Roman"/>
                <w:sz w:val="18"/>
                <w:szCs w:val="18"/>
              </w:rPr>
              <w:t xml:space="preserve"> МРРБ</w:t>
            </w:r>
          </w:p>
          <w:p w:rsidR="00742502" w:rsidRPr="006228EB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cs="Times New Roman"/>
                <w:sz w:val="18"/>
                <w:szCs w:val="18"/>
              </w:rPr>
              <w:t>“ в МРРБ</w:t>
            </w: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  <w:p w:rsidR="00FA6775" w:rsidRDefault="00FA6775" w:rsidP="00742502">
            <w:pPr>
              <w:rPr>
                <w:rFonts w:cs="Times New Roman"/>
                <w:sz w:val="18"/>
                <w:szCs w:val="18"/>
              </w:rPr>
            </w:pPr>
          </w:p>
          <w:p w:rsidR="00FA6775" w:rsidRDefault="00FA6775" w:rsidP="00742502">
            <w:pPr>
              <w:rPr>
                <w:rFonts w:cs="Times New Roman"/>
                <w:sz w:val="18"/>
                <w:szCs w:val="18"/>
              </w:rPr>
            </w:pPr>
          </w:p>
          <w:p w:rsidR="00FA6775" w:rsidRDefault="00FA6775" w:rsidP="00742502">
            <w:pPr>
              <w:rPr>
                <w:rFonts w:cs="Times New Roman"/>
                <w:sz w:val="18"/>
                <w:szCs w:val="18"/>
              </w:rPr>
            </w:pPr>
          </w:p>
          <w:p w:rsidR="00FA6775" w:rsidRDefault="00FA6775" w:rsidP="00742502">
            <w:pPr>
              <w:rPr>
                <w:rFonts w:cs="Times New Roman"/>
                <w:sz w:val="18"/>
                <w:szCs w:val="18"/>
              </w:rPr>
            </w:pPr>
          </w:p>
          <w:p w:rsidR="00742502" w:rsidRPr="006228EB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ДНСК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A6775" w:rsidRDefault="00FA6775" w:rsidP="00FA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изпълнява Публичният регистър</w:t>
            </w:r>
            <w:r>
              <w:t xml:space="preserve"> </w:t>
            </w:r>
            <w:r w:rsidRPr="00D63ECF">
              <w:rPr>
                <w:sz w:val="18"/>
                <w:szCs w:val="18"/>
              </w:rPr>
              <w:t>на подадените декла</w:t>
            </w:r>
            <w:r>
              <w:rPr>
                <w:sz w:val="18"/>
                <w:szCs w:val="18"/>
              </w:rPr>
              <w:t>рации по чл. 35, ал. 1 от ЗПКОН</w:t>
            </w:r>
            <w:r w:rsidRPr="00D63ECF">
              <w:rPr>
                <w:sz w:val="18"/>
                <w:szCs w:val="18"/>
              </w:rPr>
              <w:t>ПИ</w:t>
            </w:r>
            <w:r>
              <w:t xml:space="preserve"> </w:t>
            </w:r>
            <w:r>
              <w:rPr>
                <w:sz w:val="18"/>
                <w:szCs w:val="18"/>
              </w:rPr>
              <w:t>се актуализира ежедневно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E10AB7">
              <w:rPr>
                <w:sz w:val="18"/>
                <w:szCs w:val="18"/>
              </w:rPr>
              <w:t>раздел „Ант</w:t>
            </w:r>
            <w:r>
              <w:rPr>
                <w:sz w:val="18"/>
                <w:szCs w:val="18"/>
              </w:rPr>
              <w:t xml:space="preserve">икорупция“ на </w:t>
            </w:r>
            <w:r>
              <w:rPr>
                <w:sz w:val="18"/>
                <w:szCs w:val="18"/>
              </w:rPr>
              <w:lastRenderedPageBreak/>
              <w:t>интернет  страница</w:t>
            </w:r>
            <w:r w:rsidRPr="00E10AB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 w:rsidRPr="00E10AB7">
              <w:rPr>
                <w:sz w:val="18"/>
                <w:szCs w:val="18"/>
              </w:rPr>
              <w:t xml:space="preserve"> на МРРБ</w:t>
            </w:r>
          </w:p>
          <w:p w:rsidR="00FA6775" w:rsidRDefault="00FA6775" w:rsidP="00FA6775">
            <w:pPr>
              <w:rPr>
                <w:sz w:val="18"/>
                <w:szCs w:val="18"/>
              </w:rPr>
            </w:pPr>
          </w:p>
          <w:p w:rsidR="00FA6775" w:rsidRDefault="00FA6775" w:rsidP="00FA6775">
            <w:pPr>
              <w:rPr>
                <w:sz w:val="18"/>
                <w:szCs w:val="18"/>
              </w:rPr>
            </w:pPr>
          </w:p>
          <w:p w:rsidR="00FA6775" w:rsidRDefault="00FA6775" w:rsidP="00FA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FA6775" w:rsidRDefault="00FA6775" w:rsidP="00FA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>ата се поддържа публичен регистър</w:t>
            </w:r>
            <w:r w:rsidRPr="00220F42">
              <w:rPr>
                <w:rFonts w:cs="Times New Roman"/>
                <w:sz w:val="18"/>
                <w:szCs w:val="18"/>
              </w:rPr>
              <w:t xml:space="preserve"> по §2, ал. 3 от ЗПКОНПИ</w:t>
            </w:r>
          </w:p>
          <w:p w:rsidR="00FA6775" w:rsidRDefault="00FA6775" w:rsidP="00FA6775">
            <w:pPr>
              <w:rPr>
                <w:sz w:val="18"/>
                <w:szCs w:val="18"/>
              </w:rPr>
            </w:pPr>
          </w:p>
          <w:p w:rsidR="00742502" w:rsidRPr="00AD52FC" w:rsidRDefault="00FA6775" w:rsidP="00957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 xml:space="preserve">ата се поддържа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ЗПКОНПИ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50358E" w:rsidRDefault="00742502" w:rsidP="00742502">
            <w:pPr>
              <w:rPr>
                <w:sz w:val="18"/>
                <w:szCs w:val="18"/>
              </w:rPr>
            </w:pPr>
            <w:r w:rsidRPr="0050358E">
              <w:rPr>
                <w:sz w:val="18"/>
                <w:szCs w:val="18"/>
              </w:rPr>
              <w:t>Риск от неточна и подвеждаща  информация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42502" w:rsidRPr="0050358E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 xml:space="preserve">Осигуряване на коректна и актуална информация на публичен регистър на доставчиците на е-услуги и на публичен регистър за електронно събиране на такси за изминато разстояние  </w:t>
            </w:r>
          </w:p>
        </w:tc>
        <w:tc>
          <w:tcPr>
            <w:tcW w:w="2839" w:type="dxa"/>
            <w:gridSpan w:val="4"/>
          </w:tcPr>
          <w:p w:rsidR="00742502" w:rsidRPr="0036409E" w:rsidRDefault="00742502" w:rsidP="0074250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</w:tcPr>
          <w:p w:rsidR="00742502" w:rsidRPr="0050358E" w:rsidRDefault="00742502" w:rsidP="00742502">
            <w:pPr>
              <w:ind w:left="-107" w:right="-108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НТУ;</w:t>
            </w:r>
          </w:p>
          <w:p w:rsidR="00742502" w:rsidRPr="0050358E" w:rsidRDefault="00742502" w:rsidP="00742502">
            <w:pPr>
              <w:ind w:left="-107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дирекция АРОК</w:t>
            </w:r>
          </w:p>
          <w:p w:rsidR="00742502" w:rsidRPr="0036409E" w:rsidRDefault="00742502" w:rsidP="0074250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:rsidR="00742502" w:rsidRPr="0036409E" w:rsidRDefault="00742502" w:rsidP="00742502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Редовно се актуализира информацията в публичния р</w:t>
            </w:r>
            <w:r w:rsidRPr="005745C2">
              <w:rPr>
                <w:rFonts w:cs="Times New Roman"/>
                <w:sz w:val="18"/>
                <w:szCs w:val="18"/>
              </w:rPr>
              <w:t xml:space="preserve">егистър на националните доставчици на </w:t>
            </w:r>
            <w:r>
              <w:rPr>
                <w:rFonts w:cs="Times New Roman"/>
                <w:sz w:val="18"/>
                <w:szCs w:val="18"/>
              </w:rPr>
              <w:t>е-</w:t>
            </w:r>
            <w:r w:rsidRPr="005745C2">
              <w:rPr>
                <w:rFonts w:cs="Times New Roman"/>
                <w:sz w:val="18"/>
                <w:szCs w:val="18"/>
              </w:rPr>
              <w:t xml:space="preserve">услуги </w:t>
            </w:r>
            <w:r>
              <w:rPr>
                <w:rFonts w:cs="Times New Roman"/>
                <w:sz w:val="18"/>
                <w:szCs w:val="18"/>
              </w:rPr>
              <w:t xml:space="preserve">и </w:t>
            </w:r>
            <w:r w:rsidRPr="00937185">
              <w:rPr>
                <w:rFonts w:cs="Times New Roman"/>
                <w:sz w:val="18"/>
                <w:szCs w:val="18"/>
              </w:rPr>
              <w:t>публичн</w:t>
            </w:r>
            <w:r>
              <w:rPr>
                <w:rFonts w:cs="Times New Roman"/>
                <w:sz w:val="18"/>
                <w:szCs w:val="18"/>
              </w:rPr>
              <w:t>ия</w:t>
            </w:r>
            <w:r w:rsidRPr="00937185">
              <w:rPr>
                <w:rFonts w:cs="Times New Roman"/>
                <w:sz w:val="18"/>
                <w:szCs w:val="18"/>
              </w:rPr>
              <w:t xml:space="preserve"> регистър за електронно събиране на такси за изминато разстояние</w:t>
            </w:r>
            <w:r>
              <w:rPr>
                <w:rFonts w:cs="Times New Roman"/>
                <w:sz w:val="18"/>
                <w:szCs w:val="18"/>
              </w:rPr>
              <w:t>. Същата е</w:t>
            </w:r>
            <w:r w:rsidRPr="00B87620">
              <w:rPr>
                <w:rFonts w:cs="Times New Roman"/>
                <w:sz w:val="18"/>
                <w:szCs w:val="18"/>
              </w:rPr>
              <w:t xml:space="preserve"> общодостъпн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Pr="00B87620">
              <w:rPr>
                <w:rFonts w:cs="Times New Roman"/>
                <w:sz w:val="18"/>
                <w:szCs w:val="18"/>
              </w:rPr>
              <w:t xml:space="preserve"> на сайта </w:t>
            </w:r>
            <w:r w:rsidRPr="00937185">
              <w:rPr>
                <w:rFonts w:cs="Times New Roman"/>
                <w:sz w:val="18"/>
                <w:szCs w:val="18"/>
                <w:lang w:val="en-US"/>
              </w:rPr>
              <w:t>bgtoll.bg</w:t>
            </w:r>
          </w:p>
        </w:tc>
        <w:tc>
          <w:tcPr>
            <w:tcW w:w="2027" w:type="dxa"/>
            <w:gridSpan w:val="2"/>
          </w:tcPr>
          <w:p w:rsidR="00742502" w:rsidRPr="0036409E" w:rsidRDefault="00742502" w:rsidP="00742502">
            <w:pPr>
              <w:ind w:left="-107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742502" w:rsidRPr="008978D9" w:rsidRDefault="00742502" w:rsidP="00742502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2839" w:type="dxa"/>
            <w:gridSpan w:val="4"/>
            <w:shd w:val="clear" w:color="auto" w:fill="FFFFFF" w:themeFill="background1"/>
          </w:tcPr>
          <w:p w:rsidR="00742502" w:rsidRPr="008978D9" w:rsidRDefault="00742502" w:rsidP="0074250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992" w:type="dxa"/>
            <w:gridSpan w:val="8"/>
            <w:shd w:val="clear" w:color="auto" w:fill="FFFFFF" w:themeFill="background1"/>
          </w:tcPr>
          <w:p w:rsidR="00742502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8978D9">
              <w:rPr>
                <w:rFonts w:cs="Times New Roman"/>
                <w:sz w:val="18"/>
                <w:szCs w:val="18"/>
              </w:rPr>
              <w:t>сички отдели в ГД СППРР</w:t>
            </w:r>
          </w:p>
          <w:p w:rsidR="00742502" w:rsidRPr="008978D9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Всички отдели в дирекция УТС</w:t>
            </w:r>
          </w:p>
          <w:p w:rsidR="00742502" w:rsidRPr="008978D9" w:rsidRDefault="00742502" w:rsidP="007425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FFFFFF" w:themeFill="background1"/>
          </w:tcPr>
          <w:p w:rsidR="004D1879" w:rsidRPr="001533A3" w:rsidRDefault="004D1879" w:rsidP="004D187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ГД СППРР: </w:t>
            </w:r>
          </w:p>
          <w:p w:rsidR="004D1879" w:rsidRDefault="004D1879" w:rsidP="004D187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425EA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Текущо изпълнение  при организиране на информационни дни</w:t>
            </w:r>
          </w:p>
          <w:p w:rsidR="004D1879" w:rsidRDefault="004D1879" w:rsidP="004D187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4D1879" w:rsidRDefault="004D1879" w:rsidP="004D187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4D1879" w:rsidRPr="001533A3" w:rsidRDefault="004D1879" w:rsidP="004D187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дирекция УТС: </w:t>
            </w:r>
          </w:p>
          <w:p w:rsidR="00742502" w:rsidRPr="00EB2358" w:rsidRDefault="004D1879" w:rsidP="004D187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Проведени </w:t>
            </w:r>
            <w:r w:rsidR="0073699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общо 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бр. </w:t>
            </w: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обучения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контрольори, </w:t>
            </w:r>
            <w:r w:rsidRPr="008978D9">
              <w:rPr>
                <w:sz w:val="18"/>
                <w:szCs w:val="18"/>
              </w:rPr>
              <w:t>осъществяващи първо ниво на контрол по проектите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256C51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Риск свързан с </w:t>
            </w:r>
            <w:r w:rsidRPr="009C2FB0">
              <w:rPr>
                <w:rFonts w:cs="Times New Roman"/>
                <w:sz w:val="18"/>
                <w:szCs w:val="18"/>
              </w:rPr>
              <w:t>идентифициране</w:t>
            </w:r>
            <w:r>
              <w:rPr>
                <w:rFonts w:cs="Times New Roman"/>
                <w:sz w:val="18"/>
                <w:szCs w:val="18"/>
              </w:rPr>
              <w:t xml:space="preserve"> на  пропуски на бенефициентите, водещи до определяне на нередности </w:t>
            </w:r>
          </w:p>
        </w:tc>
        <w:tc>
          <w:tcPr>
            <w:tcW w:w="2990" w:type="dxa"/>
            <w:gridSpan w:val="2"/>
          </w:tcPr>
          <w:p w:rsidR="00742502" w:rsidRPr="008978D9" w:rsidRDefault="00742502" w:rsidP="00742502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2839" w:type="dxa"/>
            <w:gridSpan w:val="4"/>
          </w:tcPr>
          <w:p w:rsidR="00742502" w:rsidRPr="008978D9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992" w:type="dxa"/>
            <w:gridSpan w:val="8"/>
          </w:tcPr>
          <w:p w:rsidR="00742502" w:rsidRPr="008978D9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8978D9">
              <w:rPr>
                <w:rFonts w:cs="Times New Roman"/>
                <w:sz w:val="18"/>
                <w:szCs w:val="18"/>
              </w:rPr>
              <w:t xml:space="preserve">Началник на отдел </w:t>
            </w:r>
            <w:r>
              <w:rPr>
                <w:rFonts w:cs="Times New Roman"/>
                <w:sz w:val="18"/>
                <w:szCs w:val="18"/>
              </w:rPr>
              <w:t>„</w:t>
            </w:r>
            <w:r w:rsidRPr="001A5E00">
              <w:rPr>
                <w:rFonts w:cs="Times New Roman"/>
                <w:sz w:val="18"/>
                <w:szCs w:val="18"/>
              </w:rPr>
              <w:t>Контрол на обществените поръчки и нередности</w:t>
            </w:r>
            <w:r>
              <w:rPr>
                <w:rFonts w:cs="Times New Roman"/>
                <w:sz w:val="18"/>
                <w:szCs w:val="18"/>
              </w:rPr>
              <w:t>“</w:t>
            </w:r>
            <w:r w:rsidRPr="008978D9">
              <w:rPr>
                <w:rFonts w:cs="Times New Roman"/>
                <w:sz w:val="18"/>
                <w:szCs w:val="18"/>
              </w:rPr>
              <w:t xml:space="preserve"> и на отдел „</w:t>
            </w:r>
            <w:r>
              <w:rPr>
                <w:rFonts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cs="Times New Roman"/>
                <w:sz w:val="18"/>
                <w:szCs w:val="18"/>
              </w:rPr>
              <w:t>“ към ГД СППРР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Default="00742502" w:rsidP="00742502">
            <w:r>
              <w:rPr>
                <w:rFonts w:cs="Times New Roman"/>
                <w:sz w:val="18"/>
                <w:szCs w:val="18"/>
              </w:rPr>
              <w:t xml:space="preserve">Информация е публикувана на </w:t>
            </w:r>
            <w:hyperlink r:id="rId9" w:history="1">
              <w:r>
                <w:rPr>
                  <w:rStyle w:val="Hyperlink"/>
                  <w:rFonts w:cs="Times New Roman"/>
                  <w:sz w:val="18"/>
                  <w:szCs w:val="18"/>
                </w:rPr>
                <w:t>http://www.bgregio.eu/izpalnenie-na-dogovori/signali-za-nerednosti/finansovite-korektsii.aspx</w:t>
              </w:r>
            </w:hyperlink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42502" w:rsidRPr="006F6DCA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42502" w:rsidRPr="006F6DCA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42502" w:rsidRPr="006F6DCA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Експертите </w:t>
            </w:r>
            <w:r w:rsidRPr="001A5E00">
              <w:rPr>
                <w:rFonts w:cs="Times New Roman"/>
                <w:sz w:val="18"/>
                <w:szCs w:val="18"/>
              </w:rPr>
              <w:t xml:space="preserve">„Комуникация и връзки с обществеността“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6DCA">
              <w:rPr>
                <w:rFonts w:cs="Times New Roman"/>
                <w:sz w:val="18"/>
                <w:szCs w:val="18"/>
              </w:rPr>
              <w:t>КВО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секретариати; </w:t>
            </w:r>
          </w:p>
          <w:p w:rsidR="00742502" w:rsidRPr="006F6DCA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България-Сърбия 2014-2020: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Наръчник за изпълнение на проекти – версия 4 – март 2022;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 xml:space="preserve"> Програма ИНТЕРРЕГ-ИПП България-Северна Македония 2014-2020: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версия 4 – март 2022;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България-Турция 2014-2020:</w:t>
            </w:r>
          </w:p>
          <w:p w:rsidR="00742502" w:rsidRPr="004B1F06" w:rsidRDefault="00742502" w:rsidP="00742502">
            <w:pPr>
              <w:rPr>
                <w:color w:val="FF0000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версия 3 – март 2022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 w:rsidRPr="007678CA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действията, свободна и лоялна конкуренция, равнопоставеност и недопускане на дискриминация на проектно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42502" w:rsidRPr="006F6DCA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Инструмент за предприсъединителна помощ (ИПП) на досиетата за обществени поръчки провеждани от бенефициенти по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42502" w:rsidRPr="006F6DCA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42502" w:rsidRPr="006F6DCA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Директор на дирекция </w:t>
            </w:r>
            <w:r w:rsidRPr="006F6DCA">
              <w:rPr>
                <w:rFonts w:cs="Times New Roman"/>
                <w:sz w:val="18"/>
                <w:szCs w:val="18"/>
              </w:rPr>
              <w:t>УТС в МРРБ;</w:t>
            </w:r>
          </w:p>
          <w:p w:rsidR="00742502" w:rsidRDefault="00742502" w:rsidP="00742502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</w:p>
          <w:p w:rsidR="00742502" w:rsidRPr="006F6DCA" w:rsidRDefault="00742502" w:rsidP="00742502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България-Сърбия 2014-2020: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 xml:space="preserve">29 тръжни досиета 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България-Северна Македония 2014-2020: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 xml:space="preserve">6 тръжни досиета </w:t>
            </w: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742502" w:rsidRDefault="00742502" w:rsidP="0074250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България-Турция 2014-2020:</w:t>
            </w:r>
          </w:p>
          <w:p w:rsidR="00742502" w:rsidRPr="00934F82" w:rsidRDefault="00742502" w:rsidP="00742502">
            <w:r>
              <w:rPr>
                <w:rFonts w:cs="Times New Roman"/>
                <w:sz w:val="18"/>
                <w:szCs w:val="18"/>
                <w:lang w:bidi="bg-BG"/>
              </w:rPr>
              <w:t>15 тръжни досиета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831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 w:rsidRPr="00F71FA0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 на програмно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42502" w:rsidRPr="006F6DCA" w:rsidRDefault="00742502" w:rsidP="00742502"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>
              <w:rPr>
                <w:rFonts w:cs="Times New Roman"/>
                <w:sz w:val="18"/>
                <w:szCs w:val="18"/>
              </w:rPr>
              <w:t xml:space="preserve"> (СКН)</w:t>
            </w:r>
            <w:r w:rsidRPr="006F6DCA">
              <w:rPr>
                <w:rFonts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изпълнение на програмите и др.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42502" w:rsidRPr="006F6DCA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42502" w:rsidRPr="006F6DCA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Директор на дирекция УТС в МРРБ;</w:t>
            </w:r>
          </w:p>
          <w:p w:rsidR="00742502" w:rsidRPr="006F6DCA" w:rsidRDefault="00742502" w:rsidP="00742502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</w:t>
            </w:r>
            <w:r>
              <w:rPr>
                <w:rFonts w:cs="Times New Roman"/>
                <w:sz w:val="18"/>
                <w:szCs w:val="18"/>
              </w:rPr>
              <w:t>чно сътрудничество“ в дирекция УТС</w:t>
            </w:r>
            <w:r w:rsidRPr="006F6DCA">
              <w:rPr>
                <w:rFonts w:cs="Times New Roman"/>
                <w:sz w:val="18"/>
                <w:szCs w:val="18"/>
              </w:rPr>
              <w:t>;</w:t>
            </w:r>
          </w:p>
          <w:p w:rsidR="00742502" w:rsidRDefault="00742502" w:rsidP="00742502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2502" w:rsidRPr="006F6DCA" w:rsidRDefault="00742502" w:rsidP="00742502">
            <w:pPr>
              <w:ind w:righ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България-Сърбия 2014-2020:</w:t>
            </w: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7 решения на СКН;</w:t>
            </w: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един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bidi="bg-BG"/>
              </w:rPr>
              <w:t>г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одишен доклад за наблюдение изпълнението на съвместимостта на оценката на въздействие върху 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lastRenderedPageBreak/>
              <w:t xml:space="preserve">околната среда с доклада за стратегическа екологична оценка на Програмата за 2021 година; </w:t>
            </w: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България-Северна Македония 2014-2020:</w:t>
            </w: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val="en-US" w:bidi="bg-BG"/>
              </w:rPr>
              <w:t>3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 решения на СКН;</w:t>
            </w: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Един г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>одишен доклад за наблюдение изпълнението на съвместимостта на оценката на въздействие върху околната среда с доклада за стратегическа екологична оценка на Програмата за 2021 година;</w:t>
            </w: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D54D9F" w:rsidRPr="00F35392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България-Турция 2014-2020:</w:t>
            </w:r>
          </w:p>
          <w:p w:rsidR="00D54D9F" w:rsidRPr="00F35392" w:rsidRDefault="00D749CC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5</w:t>
            </w:r>
            <w:r w:rsidR="00D54D9F" w:rsidRPr="00F35392">
              <w:rPr>
                <w:rFonts w:cs="Times New Roman"/>
                <w:sz w:val="18"/>
                <w:szCs w:val="18"/>
                <w:lang w:bidi="bg-BG"/>
              </w:rPr>
              <w:t xml:space="preserve"> решения на СКН; </w:t>
            </w:r>
          </w:p>
          <w:p w:rsidR="00742502" w:rsidRPr="00D644AD" w:rsidRDefault="00D54D9F" w:rsidP="00D54D9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един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 годишен доклад за наблюдение изпълнението на съвместимостта на оценката на въздействие върху околната среда с доклада за стратегическа оценка на Програмата за 2021 година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 w:rsidRPr="009572F5">
              <w:rPr>
                <w:sz w:val="18"/>
                <w:szCs w:val="18"/>
              </w:rPr>
              <w:t>Риск свързан с липса на достатъч</w:t>
            </w:r>
            <w:r>
              <w:rPr>
                <w:sz w:val="18"/>
                <w:szCs w:val="18"/>
              </w:rPr>
              <w:t>на осведоменост при разработване на проекти на нормативни актове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42502" w:rsidRPr="00C03827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Осигуряване на пълна прозрачност и проследимост по разработването на проекти на нормативни актове от страна на дирекция ТПН чрез включване на представители на всички заинтересовани страни в работните групи и в съгласуването на изготвените проекти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42502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42502" w:rsidRDefault="00742502" w:rsidP="00742502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ТПН в МРРБ;</w:t>
            </w:r>
          </w:p>
          <w:p w:rsidR="00742502" w:rsidRPr="009E7A2C" w:rsidRDefault="00742502" w:rsidP="007425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отдел „Хармонизация на техническата нормативна уредба“ в дирекция ТПН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Default="00CF474A" w:rsidP="00742502">
            <w:pPr>
              <w:ind w:right="-156"/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При разработването на проекти на нормативни актове от страна на дирекция ТПН в работните групи се включват представители на </w:t>
            </w:r>
            <w:r>
              <w:rPr>
                <w:rFonts w:cs="Times New Roman"/>
                <w:sz w:val="18"/>
                <w:szCs w:val="18"/>
              </w:rPr>
              <w:lastRenderedPageBreak/>
              <w:t>всички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заинтересовани страни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 xml:space="preserve">Възможност за </w:t>
            </w:r>
            <w:r>
              <w:rPr>
                <w:sz w:val="18"/>
                <w:szCs w:val="18"/>
              </w:rPr>
              <w:t xml:space="preserve">допускане на </w:t>
            </w:r>
            <w:r w:rsidRPr="00D50E5F">
              <w:rPr>
                <w:sz w:val="18"/>
                <w:szCs w:val="18"/>
              </w:rPr>
              <w:t>пропуски и несъответствия при актуализиране на информацията за публикуване на прекратените удостоверения на консултантите за упражняване дейностите оценка на съответствието на инвестиционните проекти и/или упражняване на строителен надзор</w:t>
            </w:r>
          </w:p>
        </w:tc>
        <w:tc>
          <w:tcPr>
            <w:tcW w:w="2990" w:type="dxa"/>
            <w:gridSpan w:val="2"/>
          </w:tcPr>
          <w:p w:rsidR="00742502" w:rsidRPr="001A55D0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1A55D0">
              <w:rPr>
                <w:rFonts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(ДНСК) на 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2839" w:type="dxa"/>
            <w:gridSpan w:val="4"/>
          </w:tcPr>
          <w:p w:rsidR="00742502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  <w:p w:rsidR="00742502" w:rsidRPr="001A55D0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742502" w:rsidRPr="001A55D0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 xml:space="preserve">Началник на ДНСК, началник на </w:t>
            </w:r>
            <w:r>
              <w:rPr>
                <w:rFonts w:cs="Times New Roman"/>
                <w:sz w:val="18"/>
                <w:szCs w:val="18"/>
              </w:rPr>
              <w:t>отдел „Консултанти и регистри“ (</w:t>
            </w:r>
            <w:r w:rsidRPr="00246CC0">
              <w:rPr>
                <w:rFonts w:cs="Times New Roman"/>
                <w:sz w:val="18"/>
                <w:szCs w:val="18"/>
              </w:rPr>
              <w:t>КР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246CC0">
              <w:rPr>
                <w:rFonts w:cs="Times New Roman"/>
                <w:sz w:val="18"/>
                <w:szCs w:val="18"/>
              </w:rPr>
              <w:t xml:space="preserve"> в дирекция „Въвеждане</w:t>
            </w:r>
            <w:r>
              <w:rPr>
                <w:rFonts w:cs="Times New Roman"/>
                <w:sz w:val="18"/>
                <w:szCs w:val="18"/>
              </w:rPr>
              <w:t xml:space="preserve"> в експлоатация и консултанти“ (</w:t>
            </w:r>
            <w:r w:rsidRPr="00246CC0">
              <w:rPr>
                <w:rFonts w:cs="Times New Roman"/>
                <w:sz w:val="18"/>
                <w:szCs w:val="18"/>
              </w:rPr>
              <w:t>ВЕК</w:t>
            </w:r>
            <w:r>
              <w:rPr>
                <w:rFonts w:cs="Times New Roman"/>
                <w:sz w:val="18"/>
                <w:szCs w:val="18"/>
              </w:rPr>
              <w:t xml:space="preserve">),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„Административно, информационно и ф</w:t>
            </w:r>
            <w:r>
              <w:rPr>
                <w:rFonts w:cs="Times New Roman"/>
                <w:sz w:val="18"/>
                <w:szCs w:val="18"/>
              </w:rPr>
              <w:t>инансово-стопанско обслужване“ (</w:t>
            </w:r>
            <w:r w:rsidRPr="00246CC0">
              <w:rPr>
                <w:rFonts w:cs="Times New Roman"/>
                <w:sz w:val="18"/>
                <w:szCs w:val="18"/>
              </w:rPr>
              <w:t>АИФСО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Pr="004D006D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Pr="004D006D" w:rsidRDefault="00742502" w:rsidP="00742502">
            <w:pPr>
              <w:rPr>
                <w:sz w:val="18"/>
                <w:szCs w:val="18"/>
              </w:rPr>
            </w:pPr>
          </w:p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Pr="00E71C9F" w:rsidRDefault="00742502" w:rsidP="00742502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>Възможност за пропуски и несъответствия при актуализиране на информацията за публикуване на регистър на издадените от ДНСК разрешения за ползване на строежи от първа, втора и трета категория</w:t>
            </w:r>
          </w:p>
        </w:tc>
        <w:tc>
          <w:tcPr>
            <w:tcW w:w="2990" w:type="dxa"/>
            <w:gridSpan w:val="2"/>
          </w:tcPr>
          <w:p w:rsidR="00742502" w:rsidRPr="009215FC" w:rsidRDefault="00742502" w:rsidP="00742502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9215FC">
              <w:rPr>
                <w:rFonts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2839" w:type="dxa"/>
            <w:gridSpan w:val="4"/>
          </w:tcPr>
          <w:p w:rsidR="00742502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742502" w:rsidRPr="009215FC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742502" w:rsidRPr="009215FC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 началник на отдел КР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Pr="004D006D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Pr="004D006D" w:rsidRDefault="00742502" w:rsidP="00742502">
            <w:pPr>
              <w:rPr>
                <w:sz w:val="18"/>
                <w:szCs w:val="18"/>
              </w:rPr>
            </w:pPr>
          </w:p>
        </w:tc>
      </w:tr>
      <w:tr w:rsidR="00742502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42502" w:rsidRDefault="00742502" w:rsidP="00742502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>Възможност за пропуски и несъответствия при актуализиране на информацията за публикуване на регистрите на влезлите в сила заповеди за премахване на незаконни строежи</w:t>
            </w:r>
          </w:p>
          <w:p w:rsidR="00957C59" w:rsidRDefault="00957C59" w:rsidP="00742502">
            <w:pPr>
              <w:rPr>
                <w:sz w:val="18"/>
                <w:szCs w:val="18"/>
              </w:rPr>
            </w:pPr>
          </w:p>
          <w:p w:rsidR="00957C59" w:rsidRPr="00E71C9F" w:rsidRDefault="00957C59" w:rsidP="00742502">
            <w:pPr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</w:tcPr>
          <w:p w:rsidR="00742502" w:rsidRPr="009215FC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9215FC">
              <w:rPr>
                <w:rFonts w:cs="Times New Roman"/>
                <w:sz w:val="18"/>
                <w:szCs w:val="18"/>
              </w:rPr>
              <w:t>Поддържане н</w:t>
            </w:r>
            <w:r w:rsidRPr="009215FC">
              <w:rPr>
                <w:rFonts w:eastAsia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2839" w:type="dxa"/>
            <w:gridSpan w:val="4"/>
          </w:tcPr>
          <w:p w:rsidR="00742502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742502" w:rsidRPr="009215FC" w:rsidRDefault="00742502" w:rsidP="0074250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742502" w:rsidRPr="00246CC0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</w:t>
            </w:r>
          </w:p>
          <w:p w:rsidR="00742502" w:rsidRPr="009215FC" w:rsidRDefault="00742502" w:rsidP="00742502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Главен директор на главна дирекция „Строителен контрол“, началник на отдел КР 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42502" w:rsidRPr="004D006D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42502" w:rsidRDefault="00742502" w:rsidP="00742502"/>
        </w:tc>
      </w:tr>
      <w:tr w:rsidR="00742502" w:rsidTr="007B4EAA">
        <w:trPr>
          <w:trHeight w:val="57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42502" w:rsidRDefault="00742502" w:rsidP="00742502">
            <w:r>
              <w:lastRenderedPageBreak/>
              <w:t>Обучения</w:t>
            </w:r>
          </w:p>
        </w:tc>
      </w:tr>
      <w:tr w:rsidR="00742502" w:rsidTr="007B4EAA">
        <w:trPr>
          <w:trHeight w:val="843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742502" w:rsidRDefault="00742502" w:rsidP="00742502">
            <w:r>
              <w:t xml:space="preserve">Брой на проведените обучения </w:t>
            </w:r>
          </w:p>
        </w:tc>
        <w:tc>
          <w:tcPr>
            <w:tcW w:w="5626" w:type="dxa"/>
            <w:gridSpan w:val="8"/>
            <w:shd w:val="clear" w:color="auto" w:fill="E2EFD9" w:themeFill="accent6" w:themeFillTint="33"/>
          </w:tcPr>
          <w:p w:rsidR="00742502" w:rsidRDefault="00742502" w:rsidP="00742502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142" w:type="dxa"/>
            <w:gridSpan w:val="9"/>
            <w:shd w:val="clear" w:color="auto" w:fill="E2EFD9" w:themeFill="accent6" w:themeFillTint="33"/>
          </w:tcPr>
          <w:p w:rsidR="00742502" w:rsidRDefault="00742502" w:rsidP="00742502">
            <w:r>
              <w:t>Индикатор</w:t>
            </w:r>
          </w:p>
        </w:tc>
      </w:tr>
      <w:tr w:rsidR="00742502" w:rsidTr="007B4EAA">
        <w:trPr>
          <w:trHeight w:val="122"/>
        </w:trPr>
        <w:tc>
          <w:tcPr>
            <w:tcW w:w="3825" w:type="dxa"/>
            <w:gridSpan w:val="2"/>
            <w:shd w:val="clear" w:color="auto" w:fill="FFFFFF" w:themeFill="background1"/>
          </w:tcPr>
          <w:p w:rsidR="00742502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МРРБ</w:t>
            </w:r>
            <w:r w:rsidR="0013140C">
              <w:rPr>
                <w:sz w:val="18"/>
                <w:szCs w:val="18"/>
              </w:rPr>
              <w:t xml:space="preserve"> – 4 броя</w:t>
            </w:r>
            <w:r w:rsidR="00F655AE">
              <w:rPr>
                <w:sz w:val="18"/>
                <w:szCs w:val="18"/>
              </w:rPr>
              <w:t xml:space="preserve"> тематични обучения</w:t>
            </w: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АПИ</w:t>
            </w:r>
            <w:r w:rsidR="00F655AE">
              <w:rPr>
                <w:sz w:val="18"/>
                <w:szCs w:val="18"/>
              </w:rPr>
              <w:t xml:space="preserve"> – 3 тематични обучения</w:t>
            </w: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742502" w:rsidRDefault="00742502" w:rsidP="00742502">
            <w:pPr>
              <w:rPr>
                <w:sz w:val="18"/>
                <w:szCs w:val="18"/>
              </w:rPr>
            </w:pPr>
          </w:p>
          <w:p w:rsidR="000F4452" w:rsidRDefault="000F4452" w:rsidP="00931A15">
            <w:pPr>
              <w:rPr>
                <w:sz w:val="18"/>
                <w:szCs w:val="18"/>
              </w:rPr>
            </w:pPr>
          </w:p>
          <w:p w:rsidR="000F4452" w:rsidRDefault="000F4452" w:rsidP="00931A15">
            <w:pPr>
              <w:rPr>
                <w:sz w:val="18"/>
                <w:szCs w:val="18"/>
              </w:rPr>
            </w:pPr>
          </w:p>
          <w:p w:rsidR="000F4452" w:rsidRDefault="000F4452" w:rsidP="00931A15">
            <w:pPr>
              <w:rPr>
                <w:sz w:val="18"/>
                <w:szCs w:val="18"/>
              </w:rPr>
            </w:pPr>
          </w:p>
          <w:p w:rsidR="00B949C4" w:rsidRDefault="00B949C4" w:rsidP="00931A15">
            <w:pPr>
              <w:rPr>
                <w:sz w:val="18"/>
                <w:szCs w:val="18"/>
              </w:rPr>
            </w:pPr>
          </w:p>
          <w:p w:rsidR="00B949C4" w:rsidRDefault="00B949C4" w:rsidP="00931A15">
            <w:pPr>
              <w:rPr>
                <w:sz w:val="18"/>
                <w:szCs w:val="18"/>
              </w:rPr>
            </w:pPr>
          </w:p>
          <w:p w:rsidR="00B949C4" w:rsidRDefault="00B949C4" w:rsidP="00931A15">
            <w:pPr>
              <w:rPr>
                <w:sz w:val="18"/>
                <w:szCs w:val="18"/>
              </w:rPr>
            </w:pPr>
          </w:p>
          <w:p w:rsidR="00135E20" w:rsidRDefault="00135E20" w:rsidP="00931A15">
            <w:pPr>
              <w:rPr>
                <w:sz w:val="18"/>
                <w:szCs w:val="18"/>
              </w:rPr>
            </w:pPr>
          </w:p>
          <w:p w:rsidR="00135E20" w:rsidRDefault="00135E20" w:rsidP="00931A15">
            <w:pPr>
              <w:rPr>
                <w:sz w:val="18"/>
                <w:szCs w:val="18"/>
              </w:rPr>
            </w:pPr>
          </w:p>
          <w:p w:rsidR="00742502" w:rsidRPr="00E61644" w:rsidRDefault="00742502" w:rsidP="00931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ДНСК</w:t>
            </w:r>
            <w:r w:rsidR="00757BD1">
              <w:rPr>
                <w:sz w:val="18"/>
                <w:szCs w:val="18"/>
              </w:rPr>
              <w:t xml:space="preserve"> – </w:t>
            </w:r>
            <w:r w:rsidR="00931A15">
              <w:rPr>
                <w:sz w:val="18"/>
                <w:szCs w:val="18"/>
              </w:rPr>
              <w:t>6</w:t>
            </w:r>
            <w:r w:rsidR="00757BD1">
              <w:rPr>
                <w:sz w:val="18"/>
                <w:szCs w:val="18"/>
              </w:rPr>
              <w:t xml:space="preserve"> броя</w:t>
            </w:r>
            <w:r w:rsidR="00F655AE">
              <w:rPr>
                <w:sz w:val="18"/>
                <w:szCs w:val="18"/>
              </w:rPr>
              <w:t xml:space="preserve"> тематични обучения</w:t>
            </w:r>
          </w:p>
        </w:tc>
        <w:tc>
          <w:tcPr>
            <w:tcW w:w="5626" w:type="dxa"/>
            <w:gridSpan w:val="8"/>
            <w:shd w:val="clear" w:color="auto" w:fill="FFFFFF" w:themeFill="background1"/>
          </w:tcPr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lastRenderedPageBreak/>
              <w:t>Прогнозиране на потребностите и планиране на обществени поръчки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6E7B5C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експерт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6E7B5C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вътрешен одитор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директор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дирекция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="0074250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6E7B5C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държавен експерт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="0074250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6E7B5C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началник на отдел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="0074250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е</w:t>
            </w:r>
            <w:r w:rsidR="006E7B5C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ксперт по управление на проекти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вътрешен одитор</w:t>
            </w: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 xml:space="preserve">Превенция и противодействие на корупцията в държавната администрация </w:t>
            </w: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="00F655AE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 на длъжност</w:t>
            </w:r>
            <w:r w:rsidR="00F655AE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старши юрисконс</w:t>
            </w:r>
            <w:r w:rsidR="00F655AE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улт</w:t>
            </w: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Борба с измами при усвояване на средствата от ЕС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експерт</w:t>
            </w: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42502" w:rsidRPr="00E56EFA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Принципи на контрола и одита на средствата от Европейския съюз. Избягване на риска от нередности и финансови корекции</w:t>
            </w:r>
          </w:p>
          <w:p w:rsidR="00742502" w:rsidRPr="00E56EFA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2 бр. служители на длъжност </w:t>
            </w:r>
            <w:r w:rsidR="00135E20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държавен експерт</w:t>
            </w:r>
          </w:p>
          <w:p w:rsidR="00742502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главен експерт</w:t>
            </w:r>
          </w:p>
          <w:p w:rsidR="0074250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4250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4250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20"/>
                <w:szCs w:val="20"/>
                <w:u w:val="single"/>
                <w:lang w:eastAsia="bg-BG"/>
              </w:rPr>
            </w:pPr>
            <w:r w:rsidRPr="00F655AE">
              <w:rPr>
                <w:rFonts w:eastAsia="Times New Roman" w:cs="Times New Roman"/>
                <w:sz w:val="20"/>
                <w:szCs w:val="20"/>
                <w:u w:val="single"/>
                <w:lang w:eastAsia="bg-BG"/>
              </w:rPr>
              <w:t>Превенция и противодействие на корупци</w:t>
            </w:r>
            <w:r w:rsidR="00F655AE" w:rsidRPr="00F655AE">
              <w:rPr>
                <w:rFonts w:eastAsia="Times New Roman" w:cs="Times New Roman"/>
                <w:sz w:val="20"/>
                <w:szCs w:val="20"/>
                <w:u w:val="single"/>
                <w:lang w:eastAsia="bg-BG"/>
              </w:rPr>
              <w:t>ята в държавната администрация</w:t>
            </w:r>
          </w:p>
          <w:p w:rsidR="00464AF1" w:rsidRDefault="00464AF1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главен инспектор</w:t>
            </w:r>
          </w:p>
          <w:p w:rsidR="00464AF1" w:rsidRPr="00F655AE" w:rsidRDefault="00464AF1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 служители на длъжност главен експерт</w:t>
            </w:r>
          </w:p>
          <w:p w:rsidR="00F655AE" w:rsidRPr="0056009E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bg-BG"/>
              </w:rPr>
            </w:pPr>
          </w:p>
          <w:p w:rsidR="0074250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</w:pPr>
            <w:r w:rsidRPr="000F445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  <w:t>Принципи на контрола</w:t>
            </w:r>
            <w:r w:rsidR="000F4452" w:rsidRPr="000F445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  <w:t xml:space="preserve"> и одити </w:t>
            </w:r>
            <w:r w:rsidR="00AD578C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  <w:t xml:space="preserve">на </w:t>
            </w:r>
            <w:r w:rsidR="000F4452" w:rsidRPr="000F445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  <w:t>средства от ЕС</w:t>
            </w:r>
          </w:p>
          <w:p w:rsidR="000F4452" w:rsidRPr="00E56EFA" w:rsidRDefault="000F4452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инспектор</w:t>
            </w:r>
          </w:p>
          <w:p w:rsidR="000F4452" w:rsidRDefault="000F445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главен експерт</w:t>
            </w:r>
          </w:p>
          <w:p w:rsidR="000F4452" w:rsidRPr="000F4452" w:rsidRDefault="000F445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u w:val="single"/>
                <w:lang w:eastAsia="bg-BG"/>
              </w:rPr>
            </w:pPr>
          </w:p>
          <w:p w:rsidR="00742502" w:rsidRPr="000F445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</w:pPr>
            <w:r w:rsidRPr="000F445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bg-BG"/>
              </w:rPr>
              <w:t>Актуални промени в ЗОП</w:t>
            </w:r>
          </w:p>
          <w:p w:rsidR="000F4452" w:rsidRPr="00E56EFA" w:rsidRDefault="0056394A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23 бр.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и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длъжност</w:t>
            </w:r>
            <w:r w:rsidR="00135E20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главен експерт</w:t>
            </w:r>
          </w:p>
          <w:p w:rsidR="006E7B5C" w:rsidRDefault="006E7B5C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 служители на длъжност старши експерт</w:t>
            </w:r>
          </w:p>
          <w:p w:rsidR="000F4452" w:rsidRDefault="00B949C4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и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длъжност</w:t>
            </w:r>
            <w:r w:rsidR="000F445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56394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младши експерт</w:t>
            </w:r>
          </w:p>
          <w:p w:rsidR="0056394A" w:rsidRDefault="0056394A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юрисконс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улт</w:t>
            </w:r>
          </w:p>
          <w:p w:rsidR="0056394A" w:rsidRPr="00E56EFA" w:rsidRDefault="0056394A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вътрешен одитор</w:t>
            </w:r>
          </w:p>
          <w:p w:rsidR="000F4452" w:rsidRPr="00E56EFA" w:rsidRDefault="00731EF5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и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длъжност</w:t>
            </w:r>
            <w:r w:rsidR="000F445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директор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дирекция</w:t>
            </w:r>
          </w:p>
          <w:p w:rsidR="000F4452" w:rsidRPr="00E56EFA" w:rsidRDefault="000054AB" w:rsidP="000F445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  <w:r w:rsidR="0056394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бр.</w:t>
            </w:r>
            <w:r w:rsidR="000F4452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</w:t>
            </w:r>
            <w:r w:rsidR="0056394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и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длъжност</w:t>
            </w:r>
            <w:r w:rsidR="00135E20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началник на отдел</w:t>
            </w:r>
          </w:p>
          <w:p w:rsidR="00742502" w:rsidRDefault="000054AB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5 бр. служители на длъжност главен инспектор</w:t>
            </w:r>
          </w:p>
          <w:p w:rsidR="0074250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lastRenderedPageBreak/>
              <w:t>Превенция и противодействие на корупц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ията в държавната администрация</w:t>
            </w:r>
          </w:p>
          <w:p w:rsidR="00742502" w:rsidRPr="005D3062" w:rsidRDefault="00F655AE" w:rsidP="00F655A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F655AE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  <w:r w:rsidR="00742502" w:rsidRPr="00F655AE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бр.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служители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лавен експерт</w:t>
            </w:r>
          </w:p>
          <w:p w:rsidR="00742502" w:rsidRPr="005D3062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началник отдел</w:t>
            </w:r>
          </w:p>
          <w:p w:rsidR="00F655AE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директор на дирекция </w:t>
            </w:r>
          </w:p>
          <w:p w:rsidR="00742502" w:rsidRPr="005D3062" w:rsidRDefault="00F655AE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</w:t>
            </w:r>
            <w:r w:rsidR="000F445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длъжност старши експерт</w:t>
            </w: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42502" w:rsidRPr="00F655AE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F655AE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>Подкуп на чужди длъжностни лица и сигнализиране на съмнение за извършено престъпление</w:t>
            </w:r>
          </w:p>
          <w:p w:rsidR="00742502" w:rsidRPr="005D3062" w:rsidRDefault="00F655AE" w:rsidP="00742502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началник отдел</w:t>
            </w:r>
          </w:p>
          <w:p w:rsidR="00742502" w:rsidRPr="005D3062" w:rsidRDefault="00F655AE" w:rsidP="00742502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старши експерт</w:t>
            </w:r>
          </w:p>
          <w:p w:rsidR="00742502" w:rsidRPr="005D3062" w:rsidRDefault="00F655AE" w:rsidP="00742502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главен експерт</w:t>
            </w: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42502" w:rsidRPr="00F655AE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F655AE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>Прилагане на</w:t>
            </w:r>
            <w:r w:rsidR="00F655AE" w:rsidRPr="00F655AE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 xml:space="preserve"> закона за обществените поръчки</w:t>
            </w:r>
          </w:p>
          <w:p w:rsidR="00742502" w:rsidRPr="005D3062" w:rsidRDefault="00F655AE" w:rsidP="00742502">
            <w:pPr>
              <w:spacing w:after="100" w:afterAutospacing="1"/>
              <w:contextualSpacing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началник на отдел </w:t>
            </w:r>
          </w:p>
          <w:p w:rsidR="00742502" w:rsidRPr="005D3062" w:rsidRDefault="00742502" w:rsidP="007425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42502" w:rsidRPr="00931A15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931A15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>Анализ на цялостния процес по възлагане и участие в обществени поръчки - новости в правната уредба, връзка с ЦАИС ЕОП, р</w:t>
            </w:r>
            <w:r w:rsidR="00931A15" w:rsidRPr="00931A15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>ешаване на казуси от практиката</w:t>
            </w:r>
          </w:p>
          <w:p w:rsidR="00742502" w:rsidRPr="005D3062" w:rsidRDefault="00394660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секретар</w:t>
            </w:r>
          </w:p>
          <w:p w:rsidR="00742502" w:rsidRPr="005D3062" w:rsidRDefault="00394660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директор на дирекция</w:t>
            </w:r>
          </w:p>
          <w:p w:rsidR="00394660" w:rsidRDefault="00394660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началник на отдел </w:t>
            </w:r>
          </w:p>
          <w:p w:rsidR="00742502" w:rsidRPr="005D3062" w:rsidRDefault="00394660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главен специалист </w:t>
            </w: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  <w:p w:rsidR="00742502" w:rsidRPr="00931A15" w:rsidRDefault="00742502" w:rsidP="00742502">
            <w:pPr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931A15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>Как да проверяваме електронни обществени поръчки – обучение за финансови</w:t>
            </w:r>
            <w:r w:rsidR="00931A15" w:rsidRPr="00931A15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 xml:space="preserve"> контрольори и вътрешни одитори</w:t>
            </w:r>
          </w:p>
          <w:p w:rsidR="00742502" w:rsidRPr="005D3062" w:rsidRDefault="005564B2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директор на дирекция</w:t>
            </w:r>
          </w:p>
          <w:p w:rsidR="00742502" w:rsidRPr="005D3062" w:rsidRDefault="005564B2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5564B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главен специалист </w:t>
            </w: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  <w:p w:rsidR="00742502" w:rsidRPr="005D3062" w:rsidRDefault="00742502" w:rsidP="0074250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31A15">
              <w:rPr>
                <w:color w:val="000000" w:themeColor="text1"/>
                <w:sz w:val="18"/>
                <w:szCs w:val="18"/>
                <w:u w:val="single"/>
              </w:rPr>
              <w:t>Съдебната практика на Върховния административен съд по прилагането на Закона за обществените поръчки</w:t>
            </w:r>
          </w:p>
          <w:p w:rsidR="005564B2" w:rsidRDefault="005564B2" w:rsidP="0074250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началник на отдел </w:t>
            </w:r>
          </w:p>
          <w:p w:rsidR="005564B2" w:rsidRDefault="005564B2" w:rsidP="005564B2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742502" w:rsidRPr="005D306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старши специалист </w:t>
            </w:r>
          </w:p>
          <w:p w:rsidR="00742502" w:rsidRPr="00E56EFA" w:rsidRDefault="005564B2" w:rsidP="005564B2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="00742502" w:rsidRPr="005D3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директор на дирекция</w:t>
            </w:r>
          </w:p>
        </w:tc>
        <w:tc>
          <w:tcPr>
            <w:tcW w:w="6142" w:type="dxa"/>
            <w:gridSpan w:val="9"/>
            <w:shd w:val="clear" w:color="auto" w:fill="FFFFFF" w:themeFill="background1"/>
          </w:tcPr>
          <w:p w:rsidR="00742502" w:rsidRPr="00E323FD" w:rsidRDefault="00742502" w:rsidP="00742502">
            <w:pPr>
              <w:rPr>
                <w:color w:val="000000" w:themeColor="text1"/>
                <w:sz w:val="18"/>
                <w:szCs w:val="18"/>
              </w:rPr>
            </w:pPr>
            <w:r w:rsidRPr="00E323FD">
              <w:rPr>
                <w:color w:val="000000" w:themeColor="text1"/>
                <w:sz w:val="18"/>
                <w:szCs w:val="18"/>
              </w:rPr>
              <w:lastRenderedPageBreak/>
              <w:t>Повишена информираност на служителите при</w:t>
            </w:r>
            <w:r w:rsidR="00F94926">
              <w:rPr>
                <w:color w:val="000000" w:themeColor="text1"/>
                <w:sz w:val="18"/>
                <w:szCs w:val="18"/>
              </w:rPr>
              <w:t xml:space="preserve"> провеждане на процедури по ЗОП</w:t>
            </w:r>
          </w:p>
          <w:p w:rsidR="00742502" w:rsidRPr="00E323FD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94171A" w:rsidRPr="00861ABE" w:rsidRDefault="0094171A" w:rsidP="0094171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61ABE">
              <w:rPr>
                <w:color w:val="000000" w:themeColor="text1"/>
                <w:sz w:val="18"/>
                <w:szCs w:val="18"/>
              </w:rPr>
              <w:t>Повишаване на ефективността на дейностите по превенция и противодействие на корупцията</w:t>
            </w:r>
          </w:p>
          <w:p w:rsidR="00742502" w:rsidRPr="00E323FD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Pr="00E323FD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Pr="00E323FD" w:rsidRDefault="00742502" w:rsidP="00742502">
            <w:pPr>
              <w:rPr>
                <w:color w:val="000000" w:themeColor="text1"/>
                <w:sz w:val="18"/>
                <w:szCs w:val="18"/>
              </w:rPr>
            </w:pPr>
            <w:r w:rsidRPr="00E323FD">
              <w:rPr>
                <w:color w:val="000000" w:themeColor="text1"/>
                <w:sz w:val="18"/>
                <w:szCs w:val="18"/>
              </w:rPr>
              <w:t>Повишена информираност и усвояване на принципи и методи за предотвратяване на измам</w:t>
            </w:r>
            <w:r w:rsidR="00A963C6">
              <w:rPr>
                <w:color w:val="000000" w:themeColor="text1"/>
                <w:sz w:val="18"/>
                <w:szCs w:val="18"/>
              </w:rPr>
              <w:t>и при работа със средства от ЕС</w:t>
            </w:r>
          </w:p>
          <w:p w:rsidR="00742502" w:rsidRPr="00E323FD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742502" w:rsidRDefault="00742502" w:rsidP="00742502">
            <w:pPr>
              <w:rPr>
                <w:color w:val="000000" w:themeColor="text1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Default="0094171A" w:rsidP="00742502">
            <w:pPr>
              <w:rPr>
                <w:color w:val="FF0000"/>
                <w:sz w:val="18"/>
                <w:szCs w:val="18"/>
              </w:rPr>
            </w:pPr>
          </w:p>
          <w:p w:rsidR="0094171A" w:rsidRPr="00D37FFD" w:rsidRDefault="0094171A" w:rsidP="0094171A">
            <w:pPr>
              <w:rPr>
                <w:color w:val="FF0000"/>
                <w:sz w:val="18"/>
                <w:szCs w:val="18"/>
              </w:rPr>
            </w:pPr>
          </w:p>
        </w:tc>
      </w:tr>
      <w:tr w:rsidR="00742502" w:rsidTr="007B4EAA">
        <w:trPr>
          <w:trHeight w:val="651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42502" w:rsidRDefault="00742502" w:rsidP="00742502">
            <w:r>
              <w:t>Посочване на възможни начини за подаване на сигнали</w:t>
            </w:r>
          </w:p>
        </w:tc>
      </w:tr>
      <w:tr w:rsidR="00742502" w:rsidTr="007B4EAA">
        <w:trPr>
          <w:trHeight w:val="992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742502" w:rsidRDefault="00742502" w:rsidP="00742502">
            <w:r>
              <w:t>Адрес</w:t>
            </w:r>
          </w:p>
        </w:tc>
        <w:tc>
          <w:tcPr>
            <w:tcW w:w="3154" w:type="dxa"/>
            <w:gridSpan w:val="4"/>
            <w:shd w:val="clear" w:color="auto" w:fill="E2EFD9" w:themeFill="accent6" w:themeFillTint="33"/>
          </w:tcPr>
          <w:p w:rsidR="00742502" w:rsidRPr="006922DF" w:rsidRDefault="00742502" w:rsidP="00742502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2445" w:type="dxa"/>
            <w:gridSpan w:val="3"/>
            <w:shd w:val="clear" w:color="auto" w:fill="E2EFD9" w:themeFill="accent6" w:themeFillTint="33"/>
          </w:tcPr>
          <w:p w:rsidR="00742502" w:rsidRDefault="00742502" w:rsidP="00742502">
            <w:r>
              <w:t>Телефонен номер</w:t>
            </w:r>
          </w:p>
        </w:tc>
        <w:tc>
          <w:tcPr>
            <w:tcW w:w="4326" w:type="dxa"/>
            <w:gridSpan w:val="9"/>
            <w:shd w:val="clear" w:color="auto" w:fill="E2EFD9" w:themeFill="accent6" w:themeFillTint="33"/>
          </w:tcPr>
          <w:p w:rsidR="00742502" w:rsidRDefault="00742502" w:rsidP="00742502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42502" w:rsidRDefault="00742502" w:rsidP="00742502">
            <w:r>
              <w:t>Други</w:t>
            </w:r>
          </w:p>
        </w:tc>
      </w:tr>
      <w:tr w:rsidR="00742502" w:rsidTr="007B4EAA">
        <w:trPr>
          <w:trHeight w:val="1533"/>
        </w:trPr>
        <w:tc>
          <w:tcPr>
            <w:tcW w:w="3825" w:type="dxa"/>
            <w:gridSpan w:val="2"/>
          </w:tcPr>
          <w:p w:rsidR="00742502" w:rsidRPr="0069191F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69191F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>МРРБ – гр. София 1202, ул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. “Св. Св. Кирил и Методий“ 17-19</w:t>
            </w:r>
          </w:p>
          <w:p w:rsidR="00742502" w:rsidRPr="00C34148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42502" w:rsidRPr="00C34148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42502" w:rsidRPr="00C34148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42502" w:rsidRPr="00C34148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42502" w:rsidRPr="00C34148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42502" w:rsidRPr="00B3171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42502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ГД „СППРР“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към МРРБ</w:t>
            </w:r>
          </w:p>
          <w:p w:rsidR="00742502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№</w:t>
            </w:r>
            <w:r w:rsidRPr="007B4744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2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742502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42502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154" w:type="dxa"/>
            <w:gridSpan w:val="4"/>
          </w:tcPr>
          <w:p w:rsidR="00742502" w:rsidRPr="002767F2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адрес: </w:t>
            </w:r>
            <w:hyperlink r:id="rId10" w:history="1">
              <w:r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anticorr@mrrb.government.bg</w:t>
              </w:r>
            </w:hyperlink>
          </w:p>
          <w:p w:rsidR="00742502" w:rsidRPr="002767F2" w:rsidRDefault="007B2E03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hyperlink r:id="rId11" w:history="1">
              <w:r w:rsidR="00742502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inspektorat@mrrb.government.bg</w:t>
              </w:r>
            </w:hyperlink>
          </w:p>
          <w:p w:rsidR="00742502" w:rsidRPr="002767F2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742502" w:rsidRPr="002767F2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</w:p>
          <w:p w:rsidR="00742502" w:rsidRPr="002767F2" w:rsidRDefault="007B2E03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hyperlink r:id="rId12" w:history="1">
              <w:r w:rsidR="00742502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http://www.bgregio.eu/izpalnenie-na-dogovori/signali-za-nerednosti.aspx</w:t>
              </w:r>
            </w:hyperlink>
            <w:r w:rsidR="00742502"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. </w:t>
            </w:r>
          </w:p>
          <w:p w:rsidR="00742502" w:rsidRPr="002767F2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742502" w:rsidRPr="002767F2" w:rsidRDefault="00742502" w:rsidP="00742502">
            <w:pPr>
              <w:widowControl w:val="0"/>
              <w:rPr>
                <w:sz w:val="18"/>
                <w:szCs w:val="18"/>
              </w:rPr>
            </w:pPr>
          </w:p>
          <w:p w:rsidR="00742502" w:rsidRPr="002A5B50" w:rsidRDefault="007B2E03" w:rsidP="00742502">
            <w:pPr>
              <w:widowControl w:val="0"/>
              <w:rPr>
                <w:rStyle w:val="Hyperlink"/>
                <w:rFonts w:eastAsia="Arial Unicode MS" w:cs="Times New Roman"/>
                <w:color w:val="auto"/>
                <w:sz w:val="18"/>
                <w:szCs w:val="18"/>
                <w:lang w:eastAsia="bg-BG" w:bidi="bg-BG"/>
              </w:rPr>
            </w:pPr>
            <w:hyperlink r:id="rId13" w:history="1">
              <w:r w:rsidR="00742502" w:rsidRPr="002A5B50">
                <w:rPr>
                  <w:rStyle w:val="Hyperlink"/>
                  <w:rFonts w:eastAsia="Arial Unicode MS" w:cs="Times New Roman"/>
                  <w:color w:val="auto"/>
                  <w:sz w:val="18"/>
                  <w:szCs w:val="18"/>
                  <w:lang w:eastAsia="bg-BG" w:bidi="bg-BG"/>
                </w:rPr>
                <w:t>D.Petkova@mrrb.government.bg</w:t>
              </w:r>
            </w:hyperlink>
          </w:p>
          <w:p w:rsidR="00742502" w:rsidRPr="002767F2" w:rsidRDefault="00742502" w:rsidP="00742502">
            <w:pPr>
              <w:widowControl w:val="0"/>
              <w:rPr>
                <w:rStyle w:val="Hyperlink"/>
                <w:rFonts w:eastAsia="Arial Unicode MS" w:cs="Times New Roman"/>
                <w:color w:val="auto"/>
                <w:sz w:val="18"/>
                <w:szCs w:val="18"/>
                <w:lang w:eastAsia="bg-BG" w:bidi="bg-BG"/>
              </w:rPr>
            </w:pPr>
            <w:r w:rsidRPr="002A5B50">
              <w:rPr>
                <w:rStyle w:val="Hyperlink"/>
                <w:rFonts w:eastAsia="Arial Unicode MS" w:cs="Times New Roman"/>
                <w:color w:val="auto"/>
                <w:sz w:val="18"/>
                <w:szCs w:val="18"/>
                <w:lang w:eastAsia="bg-BG" w:bidi="bg-BG"/>
              </w:rPr>
              <w:t>mila.krasteva@mrrb.government.bg</w:t>
            </w:r>
          </w:p>
          <w:p w:rsidR="00742502" w:rsidRPr="002767F2" w:rsidRDefault="00742502" w:rsidP="00742502">
            <w:pPr>
              <w:widowControl w:val="0"/>
              <w:rPr>
                <w:rFonts w:ascii="Arial Unicode MS" w:eastAsia="Arial Unicode MS" w:hAnsi="Arial Unicode MS" w:cs="Arial Unicode MS"/>
                <w:sz w:val="18"/>
                <w:szCs w:val="18"/>
                <w:lang w:eastAsia="bg-BG" w:bidi="bg-BG"/>
              </w:rPr>
            </w:pPr>
          </w:p>
        </w:tc>
        <w:tc>
          <w:tcPr>
            <w:tcW w:w="2445" w:type="dxa"/>
            <w:gridSpan w:val="3"/>
          </w:tcPr>
          <w:p w:rsidR="00742502" w:rsidRPr="00B952CD" w:rsidRDefault="00742502" w:rsidP="00742502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>080011918</w:t>
            </w: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42502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439   </w:t>
            </w: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42502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42502" w:rsidRPr="002A5B50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02/9405588</w:t>
            </w:r>
          </w:p>
          <w:p w:rsidR="00742502" w:rsidRPr="002A5B50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02/9405535</w:t>
            </w: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02/9405533</w:t>
            </w:r>
          </w:p>
        </w:tc>
        <w:tc>
          <w:tcPr>
            <w:tcW w:w="4326" w:type="dxa"/>
            <w:gridSpan w:val="9"/>
          </w:tcPr>
          <w:p w:rsidR="00742502" w:rsidRPr="00390970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742502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742502" w:rsidRPr="00390970" w:rsidRDefault="00742502" w:rsidP="00742502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В Центъра за административно обслужване в МРРБ е поставена кутия за мнения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742502" w:rsidRPr="0075636C" w:rsidRDefault="00742502" w:rsidP="0074250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2502" w:rsidRDefault="00742502" w:rsidP="00742502"/>
        </w:tc>
      </w:tr>
      <w:tr w:rsidR="00742502" w:rsidTr="007B4EAA">
        <w:trPr>
          <w:trHeight w:val="1533"/>
        </w:trPr>
        <w:tc>
          <w:tcPr>
            <w:tcW w:w="3825" w:type="dxa"/>
            <w:gridSpan w:val="2"/>
          </w:tcPr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Агенция „Пътна инфраструктура“  </w:t>
            </w:r>
          </w:p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742502" w:rsidRPr="00B952CD" w:rsidRDefault="00742502" w:rsidP="00742502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154" w:type="dxa"/>
            <w:gridSpan w:val="4"/>
          </w:tcPr>
          <w:p w:rsidR="00742502" w:rsidRPr="00290F93" w:rsidRDefault="00742502" w:rsidP="00742502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</w:pPr>
            <w:r w:rsidRPr="00290F93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90F93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90F93">
              <w:rPr>
                <w:sz w:val="18"/>
                <w:szCs w:val="18"/>
              </w:rPr>
              <w:t xml:space="preserve"> </w:t>
            </w:r>
            <w:hyperlink r:id="rId14" w:history="1">
              <w:r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signali@api.bg</w:t>
              </w:r>
            </w:hyperlink>
            <w:r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742502" w:rsidRPr="00290F93" w:rsidRDefault="007B2E03" w:rsidP="00742502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</w:pPr>
            <w:hyperlink r:id="rId15" w:history="1">
              <w:r w:rsidR="00742502"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info@bgtoll.bg</w:t>
              </w:r>
            </w:hyperlink>
            <w:r w:rsidR="00742502"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742502" w:rsidRPr="00290F93" w:rsidRDefault="007B2E03" w:rsidP="00742502">
            <w:pPr>
              <w:widowControl w:val="0"/>
              <w:jc w:val="both"/>
              <w:rPr>
                <w:rStyle w:val="Hyperlink"/>
                <w:color w:val="auto"/>
                <w:sz w:val="18"/>
                <w:szCs w:val="18"/>
                <w:lang w:val="de-DE"/>
              </w:rPr>
            </w:pPr>
            <w:hyperlink r:id="rId16" w:history="1">
              <w:r w:rsidR="00742502" w:rsidRPr="00290F93">
                <w:rPr>
                  <w:rStyle w:val="Hyperlink"/>
                  <w:color w:val="auto"/>
                  <w:sz w:val="18"/>
                  <w:szCs w:val="18"/>
                </w:rPr>
                <w:t>sign</w:t>
              </w:r>
              <w:r w:rsidR="00742502" w:rsidRPr="00290F93">
                <w:rPr>
                  <w:rStyle w:val="Hyperlink"/>
                  <w:color w:val="auto"/>
                  <w:sz w:val="18"/>
                  <w:szCs w:val="18"/>
                  <w:lang w:val="de-DE"/>
                </w:rPr>
                <w:t>a</w:t>
              </w:r>
              <w:r w:rsidR="00742502" w:rsidRPr="00290F93">
                <w:rPr>
                  <w:rStyle w:val="Hyperlink"/>
                  <w:color w:val="auto"/>
                  <w:sz w:val="18"/>
                  <w:szCs w:val="18"/>
                </w:rPr>
                <w:t>li.nerednosti@api.bg</w:t>
              </w:r>
            </w:hyperlink>
          </w:p>
          <w:p w:rsidR="00742502" w:rsidRPr="00290F93" w:rsidRDefault="00742502" w:rsidP="00742502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https://check.bgtoll.bg/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(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директен линк за проверка на винетки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)</w:t>
            </w:r>
          </w:p>
          <w:p w:rsidR="00742502" w:rsidRPr="002D1583" w:rsidRDefault="007B2E03" w:rsidP="00742502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</w:pPr>
            <w:hyperlink r:id="rId17" w:history="1">
              <w:r w:rsidR="00742502" w:rsidRPr="00290F93">
                <w:rPr>
                  <w:rStyle w:val="Hyperlink"/>
                  <w:rFonts w:eastAsia="Times New Roman" w:cs="Times New Roman"/>
                  <w:bCs/>
                  <w:color w:val="auto"/>
                  <w:sz w:val="18"/>
                  <w:szCs w:val="18"/>
                  <w:lang w:val="en-US" w:eastAsia="bg-BG" w:bidi="bg-BG"/>
                </w:rPr>
                <w:t>press@bgtoll.bg</w:t>
              </w:r>
            </w:hyperlink>
          </w:p>
        </w:tc>
        <w:tc>
          <w:tcPr>
            <w:tcW w:w="2445" w:type="dxa"/>
            <w:gridSpan w:val="3"/>
          </w:tcPr>
          <w:p w:rsidR="00742502" w:rsidRPr="00290F93" w:rsidRDefault="00742502" w:rsidP="00742502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</w:p>
          <w:p w:rsidR="00742502" w:rsidRPr="00290F93" w:rsidRDefault="00742502" w:rsidP="00742502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0800 130 10</w:t>
            </w:r>
          </w:p>
          <w:p w:rsidR="00742502" w:rsidRPr="00290F93" w:rsidRDefault="00742502" w:rsidP="00742502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0700 130</w:t>
            </w:r>
            <w:r w:rsidRPr="00290F93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20</w:t>
            </w:r>
          </w:p>
          <w:p w:rsidR="00742502" w:rsidRPr="00290F93" w:rsidRDefault="00742502" w:rsidP="00742502">
            <w:pPr>
              <w:rPr>
                <w:rFonts w:eastAsia="Calibri" w:cs="Times New Roman"/>
                <w:sz w:val="18"/>
                <w:szCs w:val="18"/>
              </w:rPr>
            </w:pPr>
          </w:p>
          <w:p w:rsidR="00742502" w:rsidRPr="00290F93" w:rsidRDefault="00742502" w:rsidP="00742502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0700 108 76 /НТУ/</w:t>
            </w:r>
          </w:p>
          <w:p w:rsidR="00742502" w:rsidRPr="00290F93" w:rsidRDefault="00742502" w:rsidP="00742502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+359 700 10876   </w:t>
            </w:r>
          </w:p>
          <w:p w:rsidR="00742502" w:rsidRPr="00B952CD" w:rsidRDefault="00742502" w:rsidP="00742502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/за др.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държави/</w:t>
            </w:r>
          </w:p>
        </w:tc>
        <w:tc>
          <w:tcPr>
            <w:tcW w:w="4326" w:type="dxa"/>
            <w:gridSpan w:val="9"/>
          </w:tcPr>
          <w:p w:rsidR="00742502" w:rsidRPr="00B952CD" w:rsidRDefault="00742502" w:rsidP="00742502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43" w:type="dxa"/>
            <w:shd w:val="clear" w:color="auto" w:fill="FFFFFF" w:themeFill="background1"/>
          </w:tcPr>
          <w:p w:rsidR="00742502" w:rsidRPr="002767F2" w:rsidRDefault="00742502" w:rsidP="0074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Контактен център в НТУ</w:t>
            </w:r>
          </w:p>
        </w:tc>
      </w:tr>
      <w:tr w:rsidR="00742502" w:rsidTr="007B4EAA">
        <w:trPr>
          <w:trHeight w:val="984"/>
        </w:trPr>
        <w:tc>
          <w:tcPr>
            <w:tcW w:w="3825" w:type="dxa"/>
            <w:gridSpan w:val="2"/>
          </w:tcPr>
          <w:p w:rsidR="00742502" w:rsidRPr="00B952CD" w:rsidRDefault="00742502" w:rsidP="00742502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</w:t>
            </w:r>
          </w:p>
          <w:p w:rsidR="00742502" w:rsidRPr="00B952CD" w:rsidRDefault="00742502" w:rsidP="00742502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154" w:type="dxa"/>
            <w:gridSpan w:val="4"/>
          </w:tcPr>
          <w:p w:rsidR="00742502" w:rsidRPr="002767F2" w:rsidRDefault="00742502" w:rsidP="00742502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742502" w:rsidRPr="002767F2" w:rsidRDefault="007B2E03" w:rsidP="00742502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18" w:history="1">
              <w:r w:rsidR="00742502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coruption@dnsk.bg</w:t>
              </w:r>
            </w:hyperlink>
          </w:p>
          <w:p w:rsidR="00742502" w:rsidRPr="002767F2" w:rsidRDefault="00742502" w:rsidP="00742502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445" w:type="dxa"/>
            <w:gridSpan w:val="3"/>
          </w:tcPr>
          <w:p w:rsidR="00742502" w:rsidRPr="00B952CD" w:rsidRDefault="00742502" w:rsidP="00742502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742502" w:rsidRPr="00B952CD" w:rsidRDefault="00742502" w:rsidP="00742502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4326" w:type="dxa"/>
            <w:gridSpan w:val="9"/>
          </w:tcPr>
          <w:p w:rsidR="00742502" w:rsidRPr="00B952CD" w:rsidRDefault="00742502" w:rsidP="00742502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На входа на ДНСК и на входа на всяка РДНСК е поставена кутия за подаване на сигнали за корупция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42502" w:rsidRDefault="00742502" w:rsidP="00742502"/>
        </w:tc>
      </w:tr>
      <w:tr w:rsidR="00742502" w:rsidTr="007B4EAA">
        <w:trPr>
          <w:trHeight w:val="408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42502" w:rsidRDefault="00742502" w:rsidP="00742502">
            <w:r>
              <w:t>Мерки за защита на лицата, подали сигнали</w:t>
            </w:r>
          </w:p>
        </w:tc>
      </w:tr>
      <w:tr w:rsidR="00742502" w:rsidTr="007B4EAA">
        <w:trPr>
          <w:trHeight w:val="1275"/>
        </w:trPr>
        <w:tc>
          <w:tcPr>
            <w:tcW w:w="5161" w:type="dxa"/>
            <w:gridSpan w:val="4"/>
            <w:shd w:val="clear" w:color="auto" w:fill="E2EFD9" w:themeFill="accent6" w:themeFillTint="33"/>
          </w:tcPr>
          <w:p w:rsidR="00742502" w:rsidRDefault="00742502" w:rsidP="00742502">
            <w:r>
              <w:t xml:space="preserve">Същност на мерките </w:t>
            </w:r>
          </w:p>
        </w:tc>
        <w:tc>
          <w:tcPr>
            <w:tcW w:w="10432" w:type="dxa"/>
            <w:gridSpan w:val="15"/>
            <w:shd w:val="clear" w:color="auto" w:fill="FFFFFF" w:themeFill="background1"/>
          </w:tcPr>
          <w:p w:rsidR="00742502" w:rsidRDefault="00742502" w:rsidP="00742502">
            <w:pPr>
              <w:ind w:right="-71"/>
            </w:pP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870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09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22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на министъра на регионалното развитие и благоустройството са утвърдени „Вътрешни правила за организацията и реда за извършване на пров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ерка на декларациите по Закона з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  <w:r w:rsidRPr="00517A0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BA71FA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Всички служители на Инспектората, както и служителите, които са ангажирани с регистрацията на постъпилите сигнали за корупция/конфликт на интереси са попълнили декларация за неразкриване самоличността на лицето, подало сигнал. С посочената декларация служителите са се задължили да не разгласява факти и данни, които са станали известни при изпълнение на служебните им задължения, както и да опазват поверените им писмени документи от неразрешен достъп на трети лица.</w:t>
            </w:r>
          </w:p>
        </w:tc>
      </w:tr>
    </w:tbl>
    <w:p w:rsidR="00901DD9" w:rsidRDefault="00901DD9"/>
    <w:p w:rsidR="00CE34C6" w:rsidRDefault="00CE34C6"/>
    <w:p w:rsidR="00BC22F0" w:rsidRDefault="00BC22F0" w:rsidP="00CE34C6">
      <w:pPr>
        <w:rPr>
          <w:sz w:val="20"/>
          <w:szCs w:val="20"/>
        </w:rPr>
      </w:pPr>
    </w:p>
    <w:sectPr w:rsidR="00BC22F0" w:rsidSect="0046663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03" w:rsidRDefault="007B2E03" w:rsidP="00EB15B6">
      <w:pPr>
        <w:spacing w:line="240" w:lineRule="auto"/>
      </w:pPr>
      <w:r>
        <w:separator/>
      </w:r>
    </w:p>
  </w:endnote>
  <w:endnote w:type="continuationSeparator" w:id="0">
    <w:p w:rsidR="007B2E03" w:rsidRDefault="007B2E03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03" w:rsidRDefault="007B2E03" w:rsidP="00EB15B6">
      <w:pPr>
        <w:spacing w:line="240" w:lineRule="auto"/>
      </w:pPr>
      <w:r>
        <w:separator/>
      </w:r>
    </w:p>
  </w:footnote>
  <w:footnote w:type="continuationSeparator" w:id="0">
    <w:p w:rsidR="007B2E03" w:rsidRDefault="007B2E03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23A"/>
    <w:multiLevelType w:val="hybridMultilevel"/>
    <w:tmpl w:val="34B8EF1A"/>
    <w:lvl w:ilvl="0" w:tplc="0402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2817A3D"/>
    <w:multiLevelType w:val="hybridMultilevel"/>
    <w:tmpl w:val="707EF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61B7"/>
    <w:multiLevelType w:val="hybridMultilevel"/>
    <w:tmpl w:val="9D2AFDEA"/>
    <w:lvl w:ilvl="0" w:tplc="F10C0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6AB6"/>
    <w:multiLevelType w:val="hybridMultilevel"/>
    <w:tmpl w:val="D7BE1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660E"/>
    <w:multiLevelType w:val="hybridMultilevel"/>
    <w:tmpl w:val="E51A9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17F6"/>
    <w:rsid w:val="000054AB"/>
    <w:rsid w:val="00015E70"/>
    <w:rsid w:val="00021C4A"/>
    <w:rsid w:val="000226F0"/>
    <w:rsid w:val="00027623"/>
    <w:rsid w:val="00032081"/>
    <w:rsid w:val="00032BC2"/>
    <w:rsid w:val="00047A1F"/>
    <w:rsid w:val="00063D4B"/>
    <w:rsid w:val="000712B4"/>
    <w:rsid w:val="00071528"/>
    <w:rsid w:val="0008036A"/>
    <w:rsid w:val="0008125A"/>
    <w:rsid w:val="0008131C"/>
    <w:rsid w:val="0008657A"/>
    <w:rsid w:val="00090EF2"/>
    <w:rsid w:val="0009558A"/>
    <w:rsid w:val="000A6319"/>
    <w:rsid w:val="000B6562"/>
    <w:rsid w:val="000B6D9F"/>
    <w:rsid w:val="000C268F"/>
    <w:rsid w:val="000C4EB7"/>
    <w:rsid w:val="000C56D2"/>
    <w:rsid w:val="000D424D"/>
    <w:rsid w:val="000D52A9"/>
    <w:rsid w:val="000D5BAB"/>
    <w:rsid w:val="000E18B6"/>
    <w:rsid w:val="000E3440"/>
    <w:rsid w:val="000E3FE3"/>
    <w:rsid w:val="000E552C"/>
    <w:rsid w:val="000E78A2"/>
    <w:rsid w:val="000F4452"/>
    <w:rsid w:val="000F71D2"/>
    <w:rsid w:val="000F72CD"/>
    <w:rsid w:val="000F75A5"/>
    <w:rsid w:val="0010446D"/>
    <w:rsid w:val="0010450E"/>
    <w:rsid w:val="0013140C"/>
    <w:rsid w:val="00131DCA"/>
    <w:rsid w:val="00132C33"/>
    <w:rsid w:val="00135E20"/>
    <w:rsid w:val="00137235"/>
    <w:rsid w:val="00137F20"/>
    <w:rsid w:val="00143975"/>
    <w:rsid w:val="00144334"/>
    <w:rsid w:val="001501FA"/>
    <w:rsid w:val="00151BD7"/>
    <w:rsid w:val="001533A3"/>
    <w:rsid w:val="00161EE6"/>
    <w:rsid w:val="00163390"/>
    <w:rsid w:val="00163CDC"/>
    <w:rsid w:val="00164EEF"/>
    <w:rsid w:val="00167BF6"/>
    <w:rsid w:val="00172986"/>
    <w:rsid w:val="00174CE9"/>
    <w:rsid w:val="00176A63"/>
    <w:rsid w:val="0018262A"/>
    <w:rsid w:val="00187347"/>
    <w:rsid w:val="0019332B"/>
    <w:rsid w:val="00193891"/>
    <w:rsid w:val="00193A16"/>
    <w:rsid w:val="001969EF"/>
    <w:rsid w:val="001A287F"/>
    <w:rsid w:val="001A3B4B"/>
    <w:rsid w:val="001A5E00"/>
    <w:rsid w:val="001A6D96"/>
    <w:rsid w:val="001B597F"/>
    <w:rsid w:val="001C5D3E"/>
    <w:rsid w:val="001C7B69"/>
    <w:rsid w:val="001D4FAB"/>
    <w:rsid w:val="001D59E0"/>
    <w:rsid w:val="001E5886"/>
    <w:rsid w:val="001F4D28"/>
    <w:rsid w:val="001F761A"/>
    <w:rsid w:val="00205F52"/>
    <w:rsid w:val="00206855"/>
    <w:rsid w:val="00215819"/>
    <w:rsid w:val="002238C9"/>
    <w:rsid w:val="00227013"/>
    <w:rsid w:val="00227E61"/>
    <w:rsid w:val="002303F9"/>
    <w:rsid w:val="00235FB6"/>
    <w:rsid w:val="00236D28"/>
    <w:rsid w:val="00237B10"/>
    <w:rsid w:val="00237CE5"/>
    <w:rsid w:val="00237DE7"/>
    <w:rsid w:val="00247BBB"/>
    <w:rsid w:val="0025068A"/>
    <w:rsid w:val="00256C51"/>
    <w:rsid w:val="00262267"/>
    <w:rsid w:val="00270847"/>
    <w:rsid w:val="002767F2"/>
    <w:rsid w:val="0028778F"/>
    <w:rsid w:val="00290900"/>
    <w:rsid w:val="002911D2"/>
    <w:rsid w:val="002942BB"/>
    <w:rsid w:val="002B527B"/>
    <w:rsid w:val="002C3738"/>
    <w:rsid w:val="002C4D50"/>
    <w:rsid w:val="002D0353"/>
    <w:rsid w:val="002D1583"/>
    <w:rsid w:val="002D2456"/>
    <w:rsid w:val="002D5C12"/>
    <w:rsid w:val="002D5E29"/>
    <w:rsid w:val="002D6C4B"/>
    <w:rsid w:val="002F1515"/>
    <w:rsid w:val="002F29A5"/>
    <w:rsid w:val="00300D8D"/>
    <w:rsid w:val="00305214"/>
    <w:rsid w:val="00310DD1"/>
    <w:rsid w:val="00311326"/>
    <w:rsid w:val="003123F0"/>
    <w:rsid w:val="00314A96"/>
    <w:rsid w:val="00315795"/>
    <w:rsid w:val="003169E0"/>
    <w:rsid w:val="00320258"/>
    <w:rsid w:val="00321729"/>
    <w:rsid w:val="0032227E"/>
    <w:rsid w:val="00323369"/>
    <w:rsid w:val="00323DCC"/>
    <w:rsid w:val="0033414C"/>
    <w:rsid w:val="00334B46"/>
    <w:rsid w:val="00343BCB"/>
    <w:rsid w:val="0034560A"/>
    <w:rsid w:val="003463A1"/>
    <w:rsid w:val="0035399B"/>
    <w:rsid w:val="00362F44"/>
    <w:rsid w:val="0036409E"/>
    <w:rsid w:val="00365196"/>
    <w:rsid w:val="00365E4C"/>
    <w:rsid w:val="00366555"/>
    <w:rsid w:val="00366C44"/>
    <w:rsid w:val="00370C48"/>
    <w:rsid w:val="003729B7"/>
    <w:rsid w:val="003729B8"/>
    <w:rsid w:val="003742F5"/>
    <w:rsid w:val="00375EB0"/>
    <w:rsid w:val="00380195"/>
    <w:rsid w:val="0038360D"/>
    <w:rsid w:val="00393DBC"/>
    <w:rsid w:val="00394660"/>
    <w:rsid w:val="003A29B6"/>
    <w:rsid w:val="003B0908"/>
    <w:rsid w:val="003B2979"/>
    <w:rsid w:val="003B3003"/>
    <w:rsid w:val="003B4033"/>
    <w:rsid w:val="003B5D96"/>
    <w:rsid w:val="003D254C"/>
    <w:rsid w:val="003D3EDA"/>
    <w:rsid w:val="003E22DF"/>
    <w:rsid w:val="003F4F74"/>
    <w:rsid w:val="00400A7D"/>
    <w:rsid w:val="0041568B"/>
    <w:rsid w:val="0041645A"/>
    <w:rsid w:val="004257DF"/>
    <w:rsid w:val="004402CD"/>
    <w:rsid w:val="004441E1"/>
    <w:rsid w:val="0044672D"/>
    <w:rsid w:val="00447C17"/>
    <w:rsid w:val="00450E78"/>
    <w:rsid w:val="004511A8"/>
    <w:rsid w:val="00451885"/>
    <w:rsid w:val="004577B8"/>
    <w:rsid w:val="00461A57"/>
    <w:rsid w:val="00462AEB"/>
    <w:rsid w:val="00464AF1"/>
    <w:rsid w:val="00466631"/>
    <w:rsid w:val="0046678D"/>
    <w:rsid w:val="00470326"/>
    <w:rsid w:val="004742B4"/>
    <w:rsid w:val="00483AD3"/>
    <w:rsid w:val="004931EC"/>
    <w:rsid w:val="00494FDD"/>
    <w:rsid w:val="00496C71"/>
    <w:rsid w:val="004B0A24"/>
    <w:rsid w:val="004B436D"/>
    <w:rsid w:val="004B4C2D"/>
    <w:rsid w:val="004B61DA"/>
    <w:rsid w:val="004C06B0"/>
    <w:rsid w:val="004C413E"/>
    <w:rsid w:val="004C54B5"/>
    <w:rsid w:val="004C6AF7"/>
    <w:rsid w:val="004D006D"/>
    <w:rsid w:val="004D1879"/>
    <w:rsid w:val="004D43DB"/>
    <w:rsid w:val="004D6124"/>
    <w:rsid w:val="004D6E34"/>
    <w:rsid w:val="004E5340"/>
    <w:rsid w:val="004F0ACD"/>
    <w:rsid w:val="004F0DC1"/>
    <w:rsid w:val="004F1EA4"/>
    <w:rsid w:val="004F615B"/>
    <w:rsid w:val="005021BE"/>
    <w:rsid w:val="0050358E"/>
    <w:rsid w:val="00507C86"/>
    <w:rsid w:val="0051126E"/>
    <w:rsid w:val="00517C53"/>
    <w:rsid w:val="00521BDD"/>
    <w:rsid w:val="005228F7"/>
    <w:rsid w:val="00532F86"/>
    <w:rsid w:val="00535319"/>
    <w:rsid w:val="005545C4"/>
    <w:rsid w:val="00555B13"/>
    <w:rsid w:val="005564B2"/>
    <w:rsid w:val="0056009E"/>
    <w:rsid w:val="00560B82"/>
    <w:rsid w:val="0056394A"/>
    <w:rsid w:val="00567BCA"/>
    <w:rsid w:val="00574099"/>
    <w:rsid w:val="005745C2"/>
    <w:rsid w:val="00587CF7"/>
    <w:rsid w:val="00590049"/>
    <w:rsid w:val="0059052E"/>
    <w:rsid w:val="005912CE"/>
    <w:rsid w:val="00591452"/>
    <w:rsid w:val="00593523"/>
    <w:rsid w:val="00595F66"/>
    <w:rsid w:val="005A477A"/>
    <w:rsid w:val="005B143A"/>
    <w:rsid w:val="005B2A25"/>
    <w:rsid w:val="005B3859"/>
    <w:rsid w:val="005D0716"/>
    <w:rsid w:val="005D2543"/>
    <w:rsid w:val="005D3062"/>
    <w:rsid w:val="005D5341"/>
    <w:rsid w:val="005D6E41"/>
    <w:rsid w:val="005E2541"/>
    <w:rsid w:val="005E777C"/>
    <w:rsid w:val="005F0FB8"/>
    <w:rsid w:val="0060132A"/>
    <w:rsid w:val="00603218"/>
    <w:rsid w:val="0061241E"/>
    <w:rsid w:val="00613099"/>
    <w:rsid w:val="00616584"/>
    <w:rsid w:val="00621003"/>
    <w:rsid w:val="00623ADE"/>
    <w:rsid w:val="006304CE"/>
    <w:rsid w:val="00645F77"/>
    <w:rsid w:val="00646EB7"/>
    <w:rsid w:val="0065096B"/>
    <w:rsid w:val="006604FB"/>
    <w:rsid w:val="00667C20"/>
    <w:rsid w:val="00670165"/>
    <w:rsid w:val="00670FFE"/>
    <w:rsid w:val="00671B80"/>
    <w:rsid w:val="0068197C"/>
    <w:rsid w:val="00683B0F"/>
    <w:rsid w:val="00686D85"/>
    <w:rsid w:val="0068724F"/>
    <w:rsid w:val="006922DF"/>
    <w:rsid w:val="00693F2F"/>
    <w:rsid w:val="006961BA"/>
    <w:rsid w:val="006971F7"/>
    <w:rsid w:val="006A3274"/>
    <w:rsid w:val="006A44AE"/>
    <w:rsid w:val="006B6EE7"/>
    <w:rsid w:val="006B724C"/>
    <w:rsid w:val="006D033A"/>
    <w:rsid w:val="006D3CEF"/>
    <w:rsid w:val="006D5DA4"/>
    <w:rsid w:val="006D6316"/>
    <w:rsid w:val="006D74AE"/>
    <w:rsid w:val="006E680C"/>
    <w:rsid w:val="006E7B5C"/>
    <w:rsid w:val="006F53B0"/>
    <w:rsid w:val="006F61D3"/>
    <w:rsid w:val="00704184"/>
    <w:rsid w:val="0070590C"/>
    <w:rsid w:val="0071185D"/>
    <w:rsid w:val="00715870"/>
    <w:rsid w:val="00720472"/>
    <w:rsid w:val="00720844"/>
    <w:rsid w:val="0072229F"/>
    <w:rsid w:val="00722F9F"/>
    <w:rsid w:val="00723B70"/>
    <w:rsid w:val="00731EF5"/>
    <w:rsid w:val="007336F8"/>
    <w:rsid w:val="00735854"/>
    <w:rsid w:val="0073699D"/>
    <w:rsid w:val="00742502"/>
    <w:rsid w:val="00745D73"/>
    <w:rsid w:val="007470F8"/>
    <w:rsid w:val="00747CED"/>
    <w:rsid w:val="007522D7"/>
    <w:rsid w:val="00752A6A"/>
    <w:rsid w:val="007551AC"/>
    <w:rsid w:val="00755811"/>
    <w:rsid w:val="00757BD1"/>
    <w:rsid w:val="00762582"/>
    <w:rsid w:val="00764A11"/>
    <w:rsid w:val="007678CA"/>
    <w:rsid w:val="00774894"/>
    <w:rsid w:val="00774F80"/>
    <w:rsid w:val="007755AA"/>
    <w:rsid w:val="00783B9A"/>
    <w:rsid w:val="00785E39"/>
    <w:rsid w:val="00792240"/>
    <w:rsid w:val="00793217"/>
    <w:rsid w:val="007A18E3"/>
    <w:rsid w:val="007A34CC"/>
    <w:rsid w:val="007A6901"/>
    <w:rsid w:val="007B2E03"/>
    <w:rsid w:val="007B4EAA"/>
    <w:rsid w:val="007B7229"/>
    <w:rsid w:val="007C1333"/>
    <w:rsid w:val="007C324E"/>
    <w:rsid w:val="007C4D68"/>
    <w:rsid w:val="007C5DE2"/>
    <w:rsid w:val="007C7315"/>
    <w:rsid w:val="007C7322"/>
    <w:rsid w:val="007E4D1A"/>
    <w:rsid w:val="007F0D16"/>
    <w:rsid w:val="007F26B7"/>
    <w:rsid w:val="007F55CC"/>
    <w:rsid w:val="007F58FA"/>
    <w:rsid w:val="007F6765"/>
    <w:rsid w:val="007F7FF4"/>
    <w:rsid w:val="00800CD8"/>
    <w:rsid w:val="0080371A"/>
    <w:rsid w:val="008055C6"/>
    <w:rsid w:val="0081125C"/>
    <w:rsid w:val="008123CD"/>
    <w:rsid w:val="008164EE"/>
    <w:rsid w:val="00817841"/>
    <w:rsid w:val="0082079E"/>
    <w:rsid w:val="00822B33"/>
    <w:rsid w:val="00823A2F"/>
    <w:rsid w:val="00832C6E"/>
    <w:rsid w:val="00835FD4"/>
    <w:rsid w:val="00840504"/>
    <w:rsid w:val="00843843"/>
    <w:rsid w:val="00852B7E"/>
    <w:rsid w:val="00855A6C"/>
    <w:rsid w:val="00856B6C"/>
    <w:rsid w:val="00861ABE"/>
    <w:rsid w:val="00865859"/>
    <w:rsid w:val="008733BB"/>
    <w:rsid w:val="00874327"/>
    <w:rsid w:val="00874A50"/>
    <w:rsid w:val="00874BB7"/>
    <w:rsid w:val="00875C79"/>
    <w:rsid w:val="0088412B"/>
    <w:rsid w:val="00885F94"/>
    <w:rsid w:val="008866AC"/>
    <w:rsid w:val="00891FE1"/>
    <w:rsid w:val="00893538"/>
    <w:rsid w:val="008942FF"/>
    <w:rsid w:val="008A2AC6"/>
    <w:rsid w:val="008A557B"/>
    <w:rsid w:val="008D3149"/>
    <w:rsid w:val="008D5712"/>
    <w:rsid w:val="008D6046"/>
    <w:rsid w:val="008E710E"/>
    <w:rsid w:val="008E77DC"/>
    <w:rsid w:val="008E7F58"/>
    <w:rsid w:val="008F0D76"/>
    <w:rsid w:val="008F1659"/>
    <w:rsid w:val="008F20A4"/>
    <w:rsid w:val="008F711B"/>
    <w:rsid w:val="008F79BB"/>
    <w:rsid w:val="00901DD9"/>
    <w:rsid w:val="00902C74"/>
    <w:rsid w:val="00903A95"/>
    <w:rsid w:val="009057BC"/>
    <w:rsid w:val="009067F5"/>
    <w:rsid w:val="009248D9"/>
    <w:rsid w:val="00925937"/>
    <w:rsid w:val="00925BF5"/>
    <w:rsid w:val="00931A15"/>
    <w:rsid w:val="00932E9A"/>
    <w:rsid w:val="00935551"/>
    <w:rsid w:val="00937185"/>
    <w:rsid w:val="0094171A"/>
    <w:rsid w:val="00941BA0"/>
    <w:rsid w:val="00942275"/>
    <w:rsid w:val="0094461E"/>
    <w:rsid w:val="009467C3"/>
    <w:rsid w:val="00946925"/>
    <w:rsid w:val="00954DBE"/>
    <w:rsid w:val="009572F5"/>
    <w:rsid w:val="00957C59"/>
    <w:rsid w:val="00972AFB"/>
    <w:rsid w:val="0099561B"/>
    <w:rsid w:val="00996E6D"/>
    <w:rsid w:val="00997F5F"/>
    <w:rsid w:val="009A04CC"/>
    <w:rsid w:val="009A0C39"/>
    <w:rsid w:val="009A606F"/>
    <w:rsid w:val="009B33FD"/>
    <w:rsid w:val="009B57BD"/>
    <w:rsid w:val="009B6DA8"/>
    <w:rsid w:val="009B6F19"/>
    <w:rsid w:val="009D1734"/>
    <w:rsid w:val="009E3167"/>
    <w:rsid w:val="009E4170"/>
    <w:rsid w:val="009E65B3"/>
    <w:rsid w:val="009F48B1"/>
    <w:rsid w:val="009F6470"/>
    <w:rsid w:val="009F68B1"/>
    <w:rsid w:val="00A00CE9"/>
    <w:rsid w:val="00A02355"/>
    <w:rsid w:val="00A06652"/>
    <w:rsid w:val="00A07145"/>
    <w:rsid w:val="00A151F4"/>
    <w:rsid w:val="00A1637E"/>
    <w:rsid w:val="00A16CD7"/>
    <w:rsid w:val="00A24736"/>
    <w:rsid w:val="00A24C1F"/>
    <w:rsid w:val="00A35F0D"/>
    <w:rsid w:val="00A40EB9"/>
    <w:rsid w:val="00A455E0"/>
    <w:rsid w:val="00A461F4"/>
    <w:rsid w:val="00A541B2"/>
    <w:rsid w:val="00A637DE"/>
    <w:rsid w:val="00A6449D"/>
    <w:rsid w:val="00A749EE"/>
    <w:rsid w:val="00A8493C"/>
    <w:rsid w:val="00A93084"/>
    <w:rsid w:val="00A93306"/>
    <w:rsid w:val="00A963C6"/>
    <w:rsid w:val="00A96E23"/>
    <w:rsid w:val="00A97481"/>
    <w:rsid w:val="00A97BAF"/>
    <w:rsid w:val="00AA16B2"/>
    <w:rsid w:val="00AA5952"/>
    <w:rsid w:val="00AB1191"/>
    <w:rsid w:val="00AB2E69"/>
    <w:rsid w:val="00AB7ADF"/>
    <w:rsid w:val="00AC0811"/>
    <w:rsid w:val="00AC2B0F"/>
    <w:rsid w:val="00AD2CE3"/>
    <w:rsid w:val="00AD52FC"/>
    <w:rsid w:val="00AD578C"/>
    <w:rsid w:val="00AE74F3"/>
    <w:rsid w:val="00AF2AAC"/>
    <w:rsid w:val="00AF3B06"/>
    <w:rsid w:val="00B010F1"/>
    <w:rsid w:val="00B07F0D"/>
    <w:rsid w:val="00B17DEA"/>
    <w:rsid w:val="00B207B6"/>
    <w:rsid w:val="00B254A2"/>
    <w:rsid w:val="00B25E0F"/>
    <w:rsid w:val="00B31DD4"/>
    <w:rsid w:val="00B32908"/>
    <w:rsid w:val="00B3792B"/>
    <w:rsid w:val="00B37C4E"/>
    <w:rsid w:val="00B422DD"/>
    <w:rsid w:val="00B50591"/>
    <w:rsid w:val="00B518A5"/>
    <w:rsid w:val="00B54598"/>
    <w:rsid w:val="00B62232"/>
    <w:rsid w:val="00B65F37"/>
    <w:rsid w:val="00B70456"/>
    <w:rsid w:val="00B704C2"/>
    <w:rsid w:val="00B72169"/>
    <w:rsid w:val="00B72D9E"/>
    <w:rsid w:val="00B76D28"/>
    <w:rsid w:val="00B8260C"/>
    <w:rsid w:val="00B82C06"/>
    <w:rsid w:val="00B85EE8"/>
    <w:rsid w:val="00B87954"/>
    <w:rsid w:val="00B90B1F"/>
    <w:rsid w:val="00B91396"/>
    <w:rsid w:val="00B91D77"/>
    <w:rsid w:val="00B924E1"/>
    <w:rsid w:val="00B949C4"/>
    <w:rsid w:val="00B969C1"/>
    <w:rsid w:val="00BA4C3C"/>
    <w:rsid w:val="00BA60F2"/>
    <w:rsid w:val="00BB4098"/>
    <w:rsid w:val="00BB5D56"/>
    <w:rsid w:val="00BC22F0"/>
    <w:rsid w:val="00BC2A81"/>
    <w:rsid w:val="00BD0D36"/>
    <w:rsid w:val="00BD5E98"/>
    <w:rsid w:val="00BD72C0"/>
    <w:rsid w:val="00BE1CE7"/>
    <w:rsid w:val="00BE64EB"/>
    <w:rsid w:val="00BE6B89"/>
    <w:rsid w:val="00BF37F8"/>
    <w:rsid w:val="00C00AEB"/>
    <w:rsid w:val="00C019DD"/>
    <w:rsid w:val="00C02205"/>
    <w:rsid w:val="00C041F5"/>
    <w:rsid w:val="00C04A5E"/>
    <w:rsid w:val="00C1100B"/>
    <w:rsid w:val="00C21A68"/>
    <w:rsid w:val="00C25104"/>
    <w:rsid w:val="00C25431"/>
    <w:rsid w:val="00C32050"/>
    <w:rsid w:val="00C4069E"/>
    <w:rsid w:val="00C45673"/>
    <w:rsid w:val="00C5222A"/>
    <w:rsid w:val="00C52AF8"/>
    <w:rsid w:val="00C5650B"/>
    <w:rsid w:val="00C61534"/>
    <w:rsid w:val="00C61604"/>
    <w:rsid w:val="00C67983"/>
    <w:rsid w:val="00C70A7D"/>
    <w:rsid w:val="00C71F1F"/>
    <w:rsid w:val="00C728CE"/>
    <w:rsid w:val="00C73469"/>
    <w:rsid w:val="00C74521"/>
    <w:rsid w:val="00C75708"/>
    <w:rsid w:val="00C7776E"/>
    <w:rsid w:val="00C82CD7"/>
    <w:rsid w:val="00C8465F"/>
    <w:rsid w:val="00C85E1E"/>
    <w:rsid w:val="00C907BE"/>
    <w:rsid w:val="00C94EA5"/>
    <w:rsid w:val="00C95476"/>
    <w:rsid w:val="00CA69C3"/>
    <w:rsid w:val="00CB20E9"/>
    <w:rsid w:val="00CC0C65"/>
    <w:rsid w:val="00CC0EA4"/>
    <w:rsid w:val="00CC163B"/>
    <w:rsid w:val="00CC292B"/>
    <w:rsid w:val="00CC67DA"/>
    <w:rsid w:val="00CD06B1"/>
    <w:rsid w:val="00CD2A87"/>
    <w:rsid w:val="00CD3F1B"/>
    <w:rsid w:val="00CD5D4D"/>
    <w:rsid w:val="00CE17A2"/>
    <w:rsid w:val="00CE1C7B"/>
    <w:rsid w:val="00CE28C8"/>
    <w:rsid w:val="00CE34C6"/>
    <w:rsid w:val="00CE5486"/>
    <w:rsid w:val="00CF0FE8"/>
    <w:rsid w:val="00CF474A"/>
    <w:rsid w:val="00D0185D"/>
    <w:rsid w:val="00D0551F"/>
    <w:rsid w:val="00D14AEF"/>
    <w:rsid w:val="00D270F9"/>
    <w:rsid w:val="00D30285"/>
    <w:rsid w:val="00D315DE"/>
    <w:rsid w:val="00D3214A"/>
    <w:rsid w:val="00D340FA"/>
    <w:rsid w:val="00D34894"/>
    <w:rsid w:val="00D37FFD"/>
    <w:rsid w:val="00D41D51"/>
    <w:rsid w:val="00D42C7B"/>
    <w:rsid w:val="00D465B5"/>
    <w:rsid w:val="00D50E5F"/>
    <w:rsid w:val="00D51A2B"/>
    <w:rsid w:val="00D54D9F"/>
    <w:rsid w:val="00D57B9D"/>
    <w:rsid w:val="00D61028"/>
    <w:rsid w:val="00D62937"/>
    <w:rsid w:val="00D636FD"/>
    <w:rsid w:val="00D63ECF"/>
    <w:rsid w:val="00D644AD"/>
    <w:rsid w:val="00D749CC"/>
    <w:rsid w:val="00D8015B"/>
    <w:rsid w:val="00D9170B"/>
    <w:rsid w:val="00D94D47"/>
    <w:rsid w:val="00DA0FFD"/>
    <w:rsid w:val="00DA5A24"/>
    <w:rsid w:val="00DA7FC4"/>
    <w:rsid w:val="00DB0C2F"/>
    <w:rsid w:val="00DB4DD4"/>
    <w:rsid w:val="00DB73DF"/>
    <w:rsid w:val="00DC051D"/>
    <w:rsid w:val="00DC307C"/>
    <w:rsid w:val="00DD0E5A"/>
    <w:rsid w:val="00DD272E"/>
    <w:rsid w:val="00DD5390"/>
    <w:rsid w:val="00DE30AC"/>
    <w:rsid w:val="00DE3440"/>
    <w:rsid w:val="00DE44FE"/>
    <w:rsid w:val="00DF7DB8"/>
    <w:rsid w:val="00E06558"/>
    <w:rsid w:val="00E10AB7"/>
    <w:rsid w:val="00E25A77"/>
    <w:rsid w:val="00E26D2C"/>
    <w:rsid w:val="00E27CA7"/>
    <w:rsid w:val="00E323FD"/>
    <w:rsid w:val="00E32CFD"/>
    <w:rsid w:val="00E34B99"/>
    <w:rsid w:val="00E4095E"/>
    <w:rsid w:val="00E453C9"/>
    <w:rsid w:val="00E4612D"/>
    <w:rsid w:val="00E4680D"/>
    <w:rsid w:val="00E51A7A"/>
    <w:rsid w:val="00E56EFA"/>
    <w:rsid w:val="00E61644"/>
    <w:rsid w:val="00E63793"/>
    <w:rsid w:val="00E63A1F"/>
    <w:rsid w:val="00E679D7"/>
    <w:rsid w:val="00E71C9F"/>
    <w:rsid w:val="00E85DC0"/>
    <w:rsid w:val="00E92F75"/>
    <w:rsid w:val="00E93876"/>
    <w:rsid w:val="00E93AFD"/>
    <w:rsid w:val="00E94FBF"/>
    <w:rsid w:val="00E972A1"/>
    <w:rsid w:val="00EA3DB5"/>
    <w:rsid w:val="00EA7B03"/>
    <w:rsid w:val="00EB15B6"/>
    <w:rsid w:val="00EB16DF"/>
    <w:rsid w:val="00EB2A25"/>
    <w:rsid w:val="00EB6EFA"/>
    <w:rsid w:val="00EC0919"/>
    <w:rsid w:val="00EC345C"/>
    <w:rsid w:val="00EC5248"/>
    <w:rsid w:val="00ED38CC"/>
    <w:rsid w:val="00ED75B9"/>
    <w:rsid w:val="00EE06A3"/>
    <w:rsid w:val="00EF03B6"/>
    <w:rsid w:val="00EF2853"/>
    <w:rsid w:val="00EF5229"/>
    <w:rsid w:val="00F0011A"/>
    <w:rsid w:val="00F051AB"/>
    <w:rsid w:val="00F05CF9"/>
    <w:rsid w:val="00F10E99"/>
    <w:rsid w:val="00F1133C"/>
    <w:rsid w:val="00F12770"/>
    <w:rsid w:val="00F134C9"/>
    <w:rsid w:val="00F15E21"/>
    <w:rsid w:val="00F1658D"/>
    <w:rsid w:val="00F25083"/>
    <w:rsid w:val="00F26AC7"/>
    <w:rsid w:val="00F26CB6"/>
    <w:rsid w:val="00F2797E"/>
    <w:rsid w:val="00F314A9"/>
    <w:rsid w:val="00F42C79"/>
    <w:rsid w:val="00F45B47"/>
    <w:rsid w:val="00F462FF"/>
    <w:rsid w:val="00F473B7"/>
    <w:rsid w:val="00F605B9"/>
    <w:rsid w:val="00F655AE"/>
    <w:rsid w:val="00F71795"/>
    <w:rsid w:val="00F71FA0"/>
    <w:rsid w:val="00F73D66"/>
    <w:rsid w:val="00F75674"/>
    <w:rsid w:val="00F75786"/>
    <w:rsid w:val="00F75A30"/>
    <w:rsid w:val="00F8150C"/>
    <w:rsid w:val="00F84CD8"/>
    <w:rsid w:val="00F851FC"/>
    <w:rsid w:val="00F85F43"/>
    <w:rsid w:val="00F94926"/>
    <w:rsid w:val="00FA0790"/>
    <w:rsid w:val="00FA22BF"/>
    <w:rsid w:val="00FA2918"/>
    <w:rsid w:val="00FA6775"/>
    <w:rsid w:val="00FB33C9"/>
    <w:rsid w:val="00FB414B"/>
    <w:rsid w:val="00FC3255"/>
    <w:rsid w:val="00FC5A48"/>
    <w:rsid w:val="00FC6322"/>
    <w:rsid w:val="00FD3BBF"/>
    <w:rsid w:val="00FE3084"/>
    <w:rsid w:val="00FF184A"/>
    <w:rsid w:val="00FF3F9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6D2"/>
    <w:rPr>
      <w:color w:val="0563C1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E71C9F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71C9F"/>
    <w:pPr>
      <w:widowControl w:val="0"/>
      <w:shd w:val="clear" w:color="auto" w:fill="FFFFFF"/>
      <w:spacing w:before="240" w:line="277" w:lineRule="exact"/>
      <w:jc w:val="both"/>
    </w:pPr>
    <w:rPr>
      <w:rFonts w:eastAsia="Times New Roman" w:cs="Times New Roman"/>
    </w:rPr>
  </w:style>
  <w:style w:type="paragraph" w:styleId="NoSpacing">
    <w:name w:val="No Spacing"/>
    <w:uiPriority w:val="1"/>
    <w:qFormat/>
    <w:rsid w:val="0068197C"/>
    <w:pPr>
      <w:spacing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E%D0%B1%D1%89%D0%B5%D1%81%D1%82%D0%B2%D0%B5%D0%BD_%D0%B8%D0%BD%D1%82%D0%B5%D1%80%D0%B5%D1%81" TargetMode="External"/><Relationship Id="rId13" Type="http://schemas.openxmlformats.org/officeDocument/2006/relationships/hyperlink" Target="mailto:D.Petkova@mrrb.government.bg" TargetMode="External"/><Relationship Id="rId18" Type="http://schemas.openxmlformats.org/officeDocument/2006/relationships/hyperlink" Target="mailto:coruption@dns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gregio.eu/izpalnenie-na-dogovori/signali-za-nerednosti.aspx" TargetMode="External"/><Relationship Id="rId17" Type="http://schemas.openxmlformats.org/officeDocument/2006/relationships/hyperlink" Target="mailto:press@bgtoll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ali.nerednosti@api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at@mrrb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gtoll.bg" TargetMode="External"/><Relationship Id="rId10" Type="http://schemas.openxmlformats.org/officeDocument/2006/relationships/hyperlink" Target="mailto:anticorr@mrrb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regio.eu/izpalnenie-na-dogovori/signali-za-nerednosti/finansovite-korektsii.aspx" TargetMode="External"/><Relationship Id="rId14" Type="http://schemas.openxmlformats.org/officeDocument/2006/relationships/hyperlink" Target="mailto:signali@ap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7530-1197-40FB-A62C-9AE7FC9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DENISLAV TSVETANOV PANTALEEV</cp:lastModifiedBy>
  <cp:revision>2</cp:revision>
  <cp:lastPrinted>2022-01-14T10:05:00Z</cp:lastPrinted>
  <dcterms:created xsi:type="dcterms:W3CDTF">2023-01-16T13:48:00Z</dcterms:created>
  <dcterms:modified xsi:type="dcterms:W3CDTF">2023-01-16T13:48:00Z</dcterms:modified>
</cp:coreProperties>
</file>