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54" w:rsidRPr="003D2928" w:rsidRDefault="004D7954" w:rsidP="004D7954">
      <w:pPr>
        <w:widowControl w:val="0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 w:bidi="bg-BG"/>
        </w:rPr>
      </w:pPr>
      <w:r w:rsidRPr="003D29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 w:bidi="bg-BG"/>
        </w:rPr>
        <w:t>Приложение към чл. 1,</w:t>
      </w:r>
      <w:r w:rsidR="00D52A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 w:bidi="bg-BG"/>
        </w:rPr>
        <w:t xml:space="preserve"> ал.З от Насоки, приети от НСАП</w:t>
      </w:r>
    </w:p>
    <w:p w:rsidR="004D7954" w:rsidRPr="003D2928" w:rsidRDefault="004D7954" w:rsidP="004D7954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tbl>
      <w:tblPr>
        <w:tblStyle w:val="TableGrid"/>
        <w:tblW w:w="15400" w:type="dxa"/>
        <w:tblLayout w:type="fixed"/>
        <w:tblLook w:val="04A0" w:firstRow="1" w:lastRow="0" w:firstColumn="1" w:lastColumn="0" w:noHBand="0" w:noVBand="1"/>
      </w:tblPr>
      <w:tblGrid>
        <w:gridCol w:w="3227"/>
        <w:gridCol w:w="1305"/>
        <w:gridCol w:w="396"/>
        <w:gridCol w:w="1984"/>
        <w:gridCol w:w="1276"/>
        <w:gridCol w:w="1518"/>
        <w:gridCol w:w="324"/>
        <w:gridCol w:w="1418"/>
        <w:gridCol w:w="1976"/>
        <w:gridCol w:w="131"/>
        <w:gridCol w:w="1825"/>
        <w:gridCol w:w="20"/>
      </w:tblGrid>
      <w:tr w:rsidR="004D7954" w:rsidTr="007208CE">
        <w:tc>
          <w:tcPr>
            <w:tcW w:w="15400" w:type="dxa"/>
            <w:gridSpan w:val="12"/>
            <w:shd w:val="clear" w:color="auto" w:fill="B8CCE4" w:themeFill="accent1" w:themeFillTint="66"/>
            <w:vAlign w:val="center"/>
          </w:tcPr>
          <w:p w:rsidR="004D7954" w:rsidRDefault="004D7954" w:rsidP="007E0B23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 w:bidi="bg-BG"/>
              </w:rPr>
            </w:pPr>
            <w:r w:rsidRPr="003D2928">
              <w:rPr>
                <w:rFonts w:ascii="Times New Roman" w:eastAsia="Times New Roman" w:hAnsi="Times New Roman" w:cs="Times New Roman"/>
                <w:b/>
                <w:bCs/>
                <w:lang w:eastAsia="bg-BG" w:bidi="bg-BG"/>
              </w:rPr>
              <w:t>АНТИКОРУПЦИОНЕН ПЛАН</w:t>
            </w:r>
            <w:r w:rsidR="00541D68">
              <w:rPr>
                <w:rFonts w:ascii="Times New Roman" w:eastAsia="Times New Roman" w:hAnsi="Times New Roman" w:cs="Times New Roman"/>
                <w:b/>
                <w:bCs/>
                <w:lang w:eastAsia="bg-BG" w:bidi="bg-BG"/>
              </w:rPr>
              <w:t xml:space="preserve"> 2020</w:t>
            </w:r>
            <w:r w:rsidR="00B00DAB">
              <w:rPr>
                <w:rFonts w:ascii="Times New Roman" w:eastAsia="Times New Roman" w:hAnsi="Times New Roman" w:cs="Times New Roman"/>
                <w:b/>
                <w:bCs/>
                <w:lang w:eastAsia="bg-BG" w:bidi="bg-BG"/>
              </w:rPr>
              <w:t xml:space="preserve"> г.</w:t>
            </w:r>
          </w:p>
          <w:p w:rsidR="004D7954" w:rsidRPr="003D2928" w:rsidRDefault="004D7954" w:rsidP="007E0B23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 w:bidi="bg-BG"/>
              </w:rPr>
            </w:pPr>
          </w:p>
        </w:tc>
      </w:tr>
      <w:tr w:rsidR="004D7954" w:rsidRPr="00EB2358" w:rsidTr="007208CE">
        <w:tc>
          <w:tcPr>
            <w:tcW w:w="15400" w:type="dxa"/>
            <w:gridSpan w:val="12"/>
            <w:shd w:val="clear" w:color="auto" w:fill="B8CCE4" w:themeFill="accent1" w:themeFillTint="66"/>
          </w:tcPr>
          <w:p w:rsidR="004D7954" w:rsidRPr="00EB2358" w:rsidRDefault="004D7954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lang w:eastAsia="bg-BG" w:bidi="bg-BG"/>
              </w:rPr>
              <w:t>Заместник-министър на регионалното развитие и благоустройството, който е отговорен за координацията на антикорупционните мерки – г-н Валентин Йовев</w:t>
            </w:r>
          </w:p>
          <w:p w:rsidR="004D7954" w:rsidRPr="00EB2358" w:rsidRDefault="004D7954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lang w:eastAsia="bg-BG" w:bidi="bg-BG"/>
              </w:rPr>
            </w:pPr>
          </w:p>
        </w:tc>
      </w:tr>
      <w:tr w:rsidR="004D7954" w:rsidRPr="00EB2358" w:rsidTr="007208CE">
        <w:tc>
          <w:tcPr>
            <w:tcW w:w="15400" w:type="dxa"/>
            <w:gridSpan w:val="12"/>
            <w:shd w:val="clear" w:color="auto" w:fill="92D050"/>
          </w:tcPr>
          <w:p w:rsidR="004D7954" w:rsidRPr="00EB2358" w:rsidRDefault="004D7954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 xml:space="preserve">Корупционен риск - управление, разпореждане или </w:t>
            </w:r>
            <w:r w:rsidRPr="00F17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разходване</w:t>
            </w: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 xml:space="preserve"> на бюджетни средства и активи, вкл. обществени поръчки</w:t>
            </w:r>
          </w:p>
          <w:p w:rsidR="004D7954" w:rsidRPr="00EB2358" w:rsidRDefault="004D7954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C63F90" w:rsidRPr="00EB2358" w:rsidTr="007208CE">
        <w:tc>
          <w:tcPr>
            <w:tcW w:w="3227" w:type="dxa"/>
            <w:shd w:val="clear" w:color="auto" w:fill="FFFFCC"/>
          </w:tcPr>
          <w:p w:rsidR="00C63F90" w:rsidRPr="00EB2358" w:rsidRDefault="00C63F90" w:rsidP="007E0B23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C63F90" w:rsidRPr="00EB2358" w:rsidRDefault="00C63F90" w:rsidP="007E0B23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984" w:type="dxa"/>
            <w:shd w:val="clear" w:color="auto" w:fill="FFFFCC"/>
          </w:tcPr>
          <w:p w:rsidR="00C63F90" w:rsidRPr="00EB2358" w:rsidRDefault="00C63F90" w:rsidP="007E0B23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Крайна цел на мярката</w:t>
            </w:r>
          </w:p>
        </w:tc>
        <w:tc>
          <w:tcPr>
            <w:tcW w:w="1276" w:type="dxa"/>
            <w:shd w:val="clear" w:color="auto" w:fill="FFFFCC"/>
          </w:tcPr>
          <w:p w:rsidR="00C63F90" w:rsidRPr="00EB2358" w:rsidRDefault="00C63F90" w:rsidP="007E0B23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42" w:type="dxa"/>
            <w:gridSpan w:val="2"/>
            <w:shd w:val="clear" w:color="auto" w:fill="FFFFCC"/>
          </w:tcPr>
          <w:p w:rsidR="00C63F90" w:rsidRPr="00EB2358" w:rsidRDefault="00C63F90" w:rsidP="007E0B23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FFFFCC"/>
          </w:tcPr>
          <w:p w:rsidR="00C63F90" w:rsidRPr="00EB2358" w:rsidRDefault="00C63F90" w:rsidP="00D812D5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Отговорно</w:t>
            </w:r>
          </w:p>
          <w:p w:rsidR="00C63F90" w:rsidRPr="00EB2358" w:rsidRDefault="00C63F90" w:rsidP="00D812D5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C63F90" w:rsidRPr="00C63F90" w:rsidRDefault="00C63F90" w:rsidP="00012458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C63F90" w:rsidRPr="00EB2358" w:rsidRDefault="00C63F90" w:rsidP="00012458">
            <w:pPr>
              <w:pStyle w:val="20"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012458">
              <w:rPr>
                <w:rFonts w:eastAsiaTheme="minorHAnsi"/>
                <w:sz w:val="20"/>
                <w:szCs w:val="20"/>
              </w:rPr>
              <w:t xml:space="preserve">Неизпълнение и </w:t>
            </w:r>
            <w:r w:rsidRPr="00012458">
              <w:rPr>
                <w:sz w:val="20"/>
                <w:szCs w:val="20"/>
              </w:rPr>
              <w:t>причини</w:t>
            </w:r>
            <w:r w:rsidRPr="00EB2358">
              <w:rPr>
                <w:sz w:val="20"/>
                <w:szCs w:val="20"/>
              </w:rPr>
              <w:t xml:space="preserve"> при неизпълнение</w:t>
            </w:r>
          </w:p>
        </w:tc>
      </w:tr>
      <w:tr w:rsidR="007208CE" w:rsidRPr="00EB2358" w:rsidTr="00B61CB5">
        <w:tc>
          <w:tcPr>
            <w:tcW w:w="3227" w:type="dxa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Неутрализиране на риска от допускане на грешки/неправомерни действия при извършване на разплащания чрез изпълнение на следните процедури: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br/>
              <w:t>- осъществяване на предварителен контрол за законосъобразност от финансов контрольор преди поемане на задължения/извършване на разходи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процедиране на електронни бюджетни платежни нареждания </w:t>
            </w:r>
            <w:r w:rsidR="00B61CB5">
              <w:rPr>
                <w:rFonts w:ascii="Times New Roman" w:hAnsi="Times New Roman" w:cs="Times New Roman"/>
                <w:sz w:val="18"/>
                <w:szCs w:val="18"/>
              </w:rPr>
              <w:t xml:space="preserve">от страна на бенефициентите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чрез системата за интернет банкиране на БНБ с прилагане на система за двоен подпис и финално одобрение на инициираните плащания от Ръководител на Управляващия орган (РУО)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Организационен/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нормативна уредба</w:t>
            </w:r>
          </w:p>
        </w:tc>
        <w:tc>
          <w:tcPr>
            <w:tcW w:w="1984" w:type="dxa"/>
            <w:shd w:val="clear" w:color="auto" w:fill="auto"/>
          </w:tcPr>
          <w:p w:rsidR="007208CE" w:rsidRPr="00EB2358" w:rsidRDefault="007208CE" w:rsidP="00B61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Осигуряване на система за извършване на разплащания, защитена от допускане на грешки, неправомерни действия или корупционни практики;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br/>
              <w:t>Осигуряване на информационна обезпеченост и проследимост на извършените разплащания</w:t>
            </w:r>
          </w:p>
        </w:tc>
        <w:tc>
          <w:tcPr>
            <w:tcW w:w="1276" w:type="dxa"/>
            <w:shd w:val="clear" w:color="auto" w:fill="auto"/>
          </w:tcPr>
          <w:p w:rsidR="007208CE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  <w:p w:rsidR="007208CE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Посоченият ред се прилага при обработка на всички разплащания</w:t>
            </w:r>
          </w:p>
          <w:p w:rsidR="007208CE" w:rsidRDefault="007208CE" w:rsidP="007E0B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208CE" w:rsidRPr="0048263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Осъществени разплащания чрез надеждна електронна система с ясно разделение на функциите и проследимост на извършените операции </w:t>
            </w:r>
          </w:p>
        </w:tc>
        <w:tc>
          <w:tcPr>
            <w:tcW w:w="1418" w:type="dxa"/>
            <w:shd w:val="clear" w:color="auto" w:fill="auto"/>
          </w:tcPr>
          <w:p w:rsidR="007208CE" w:rsidRPr="00EB2358" w:rsidRDefault="007208CE" w:rsidP="007208C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Главен директор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и началници отдели в Главна дирекция „Стратегическ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  план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иране и програми за регионално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развитие“ (ГД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СППРР")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МРРБ</w:t>
            </w:r>
          </w:p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7208CE" w:rsidRPr="00EB2358" w:rsidRDefault="007208CE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7208CE" w:rsidRPr="00EB2358" w:rsidTr="00C74703">
        <w:tc>
          <w:tcPr>
            <w:tcW w:w="3227" w:type="dxa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Осигуряване пълна прозрачност и проследимост на извършените стопански операции чрез следните процедури: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br/>
              <w:t>- осигуряване на адекватна одитна следа и документална обезпеченост на извършените операции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br/>
              <w:t>- поддръжка на цялата релевантна информация за стопанските операции в електронни системи с непрекъсната проверка за съот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етствие на данните в кореспондиращите модули на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системата за интернет банкиране,  САП и ИСУН 2020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br/>
              <w:t>- издаване на контролни 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ове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 по одобрен от РУО макет при осъществяване на взаимно допълващи се проверки от експерти, отговорни за процедирането на разплащанията и за обезпечаването на счетоводната отчетност при осъществяване контрол от началник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сектор и одобрение от РУО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Организационен/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нормативна уредба</w:t>
            </w:r>
          </w:p>
        </w:tc>
        <w:tc>
          <w:tcPr>
            <w:tcW w:w="1984" w:type="dxa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Осигурена система за пълно и точно представяне на стопанските операции, както в рамките на ГД "СППРР", така и пред релевантните национални институции (Одитен орган, Сертифициращ орган, Сметна палата, АФКОС) и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структурите на ЕС (ЕК, ОЛАФ, Европейска сметна палата)</w:t>
            </w:r>
          </w:p>
        </w:tc>
        <w:tc>
          <w:tcPr>
            <w:tcW w:w="1276" w:type="dxa"/>
            <w:shd w:val="clear" w:color="auto" w:fill="auto"/>
          </w:tcPr>
          <w:p w:rsidR="007208CE" w:rsidRDefault="007208CE" w:rsidP="0072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Постоянен</w:t>
            </w:r>
          </w:p>
          <w:p w:rsidR="007208CE" w:rsidRDefault="007208CE" w:rsidP="0072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Посоченият ред се прилага при обработка на всички разплащания</w:t>
            </w:r>
          </w:p>
          <w:p w:rsidR="007208CE" w:rsidRPr="00EB2358" w:rsidRDefault="007208CE" w:rsidP="007E0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Въведени и функциониращи информационни системи, представящи вярна, пълна и проследима информация</w:t>
            </w:r>
          </w:p>
        </w:tc>
        <w:tc>
          <w:tcPr>
            <w:tcW w:w="1418" w:type="dxa"/>
            <w:shd w:val="clear" w:color="auto" w:fill="auto"/>
          </w:tcPr>
          <w:p w:rsidR="007208CE" w:rsidRPr="00EB2358" w:rsidRDefault="007208CE" w:rsidP="00720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Главен директор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 xml:space="preserve"> и началници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EB2358">
              <w:rPr>
                <w:rFonts w:ascii="Times New Roman" w:hAnsi="Times New Roman" w:cs="Times New Roman"/>
                <w:sz w:val="18"/>
                <w:szCs w:val="18"/>
              </w:rPr>
              <w:t>отдели в ГД "СППРР"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МРРБ</w:t>
            </w:r>
          </w:p>
          <w:p w:rsidR="007208CE" w:rsidRPr="00EB2358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7208CE" w:rsidRPr="00EB2358" w:rsidRDefault="007208CE" w:rsidP="00720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7208CE" w:rsidRPr="00EB2358" w:rsidRDefault="007208CE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7208CE" w:rsidRPr="00EB2358" w:rsidTr="00C66C39">
        <w:tc>
          <w:tcPr>
            <w:tcW w:w="3227" w:type="dxa"/>
            <w:shd w:val="clear" w:color="auto" w:fill="auto"/>
          </w:tcPr>
          <w:p w:rsidR="007208CE" w:rsidRPr="004C31B1" w:rsidRDefault="007208CE" w:rsidP="00007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Изпълнение на правила и процедури с цел обезпечаване на ясно и точно счетоводно отразяване на извършваните операции, както следва: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br/>
              <w:t>- осигуряване на съответна аналитичност с цел проследимост на извършваните в рамките на ГД "СППРР" стопански операции;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отразяване на счетоводните записвания в счетоводна система САП с конкретни нива на достъп на съответните служители </w:t>
            </w:r>
            <w:r w:rsidR="000C23EB">
              <w:rPr>
                <w:rFonts w:ascii="Times New Roman" w:hAnsi="Times New Roman" w:cs="Times New Roman"/>
                <w:sz w:val="18"/>
                <w:szCs w:val="18"/>
              </w:rPr>
              <w:t xml:space="preserve">/счетоводители/ 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в зависимост от задълженията им, индивидуализирани криптирани профили и осигуряване на ежедневно архивиране на въвежданата информация от администратор</w:t>
            </w:r>
            <w:r w:rsidR="006D286C">
              <w:rPr>
                <w:rFonts w:ascii="Times New Roman" w:hAnsi="Times New Roman" w:cs="Times New Roman"/>
                <w:sz w:val="18"/>
                <w:szCs w:val="18"/>
              </w:rPr>
              <w:t xml:space="preserve"> /в МФ/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br/>
              <w:t>- осигуряване на интерфейс между счетоводна система САП и ИСУН 2020 с цел гарантиране на съответствието и взаимовръзката между генерираните в тях данни;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br/>
              <w:t>- осигуряване на контрол на счетоводния процес от страна на дирекция "Национален фонд" - СО чрез изготвяне и изпращане на месечни и тримесечни отчети за касово изпълнение, оборотна ведомост и допълнително изис</w:t>
            </w:r>
            <w:r w:rsidR="000070D1">
              <w:rPr>
                <w:rFonts w:ascii="Times New Roman" w:hAnsi="Times New Roman" w:cs="Times New Roman"/>
                <w:sz w:val="18"/>
                <w:szCs w:val="18"/>
              </w:rPr>
              <w:t>квани справки и обобщени данни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208CE" w:rsidRPr="004C31B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Организационен/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нормативна уредба</w:t>
            </w:r>
          </w:p>
        </w:tc>
        <w:tc>
          <w:tcPr>
            <w:tcW w:w="1984" w:type="dxa"/>
            <w:shd w:val="clear" w:color="auto" w:fill="auto"/>
          </w:tcPr>
          <w:p w:rsidR="007208CE" w:rsidRPr="004C31B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Осигурена защитена среда за отразяване на стопанските операции в рамките на ГД "СППРР" и съгласуването им със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ертифициращия орган (СО)</w:t>
            </w:r>
          </w:p>
        </w:tc>
        <w:tc>
          <w:tcPr>
            <w:tcW w:w="1276" w:type="dxa"/>
            <w:shd w:val="clear" w:color="auto" w:fill="auto"/>
          </w:tcPr>
          <w:p w:rsidR="007208CE" w:rsidRDefault="007208CE" w:rsidP="007E0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  <w:p w:rsidR="007208CE" w:rsidRPr="004C31B1" w:rsidRDefault="007208CE" w:rsidP="007E0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7208CE" w:rsidRPr="004C31B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Въведени счетоводни операции, представящи вярна, пълна и проследима информация за извършените стопански операции</w:t>
            </w:r>
          </w:p>
        </w:tc>
        <w:tc>
          <w:tcPr>
            <w:tcW w:w="1418" w:type="dxa"/>
            <w:shd w:val="clear" w:color="auto" w:fill="auto"/>
          </w:tcPr>
          <w:p w:rsidR="007208CE" w:rsidRPr="004C31B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Главен директор </w:t>
            </w:r>
            <w:r w:rsidRPr="004C31B1">
              <w:rPr>
                <w:rFonts w:ascii="Times New Roman" w:hAnsi="Times New Roman" w:cs="Times New Roman"/>
                <w:sz w:val="18"/>
                <w:szCs w:val="18"/>
              </w:rPr>
              <w:t>и началници на отдели в ГД "СППРР"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МРРБ</w:t>
            </w:r>
          </w:p>
          <w:p w:rsidR="007208CE" w:rsidRPr="004C31B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7208CE" w:rsidRPr="004C31B1" w:rsidRDefault="007208C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7208CE" w:rsidRPr="00EB2358" w:rsidRDefault="007208CE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93631E" w:rsidRPr="00EB2358" w:rsidTr="00B451BF">
        <w:tc>
          <w:tcPr>
            <w:tcW w:w="3227" w:type="dxa"/>
            <w:shd w:val="clear" w:color="auto" w:fill="FFFFFF" w:themeFill="background1"/>
          </w:tcPr>
          <w:p w:rsidR="0093631E" w:rsidRPr="00232A7E" w:rsidRDefault="0093631E" w:rsidP="00BA6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Възлагане на различни служители изпълнението на </w:t>
            </w:r>
            <w:r w:rsidR="001C10EC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ните етапи от цикъла на обществената поръчка, а именно изготвянето на техническата спецификация на обществена поръчка, участието в работата на комисията и сле</w:t>
            </w:r>
            <w:r w:rsidR="001C10EC">
              <w:rPr>
                <w:rFonts w:ascii="Times New Roman" w:hAnsi="Times New Roman" w:cs="Times New Roman"/>
                <w:sz w:val="18"/>
                <w:szCs w:val="18"/>
              </w:rPr>
              <w:t>дене за изпълнение на сключения договор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3631E" w:rsidRPr="00EB2358" w:rsidRDefault="001C10EC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3631E">
              <w:rPr>
                <w:rFonts w:ascii="Times New Roman" w:hAnsi="Times New Roman" w:cs="Times New Roman"/>
                <w:sz w:val="18"/>
                <w:szCs w:val="18"/>
              </w:rPr>
              <w:t>рганизационен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93631E" w:rsidRPr="00EB2358" w:rsidRDefault="00F5120E" w:rsidP="00C776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20E">
              <w:rPr>
                <w:rFonts w:ascii="Times New Roman" w:hAnsi="Times New Roman" w:cs="Times New Roman"/>
                <w:sz w:val="18"/>
                <w:szCs w:val="18"/>
              </w:rPr>
              <w:t>Превенция за възникване на корупционни практики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93631E" w:rsidRPr="00EB2358" w:rsidRDefault="001C10EC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3631E">
              <w:rPr>
                <w:rFonts w:ascii="Times New Roman" w:hAnsi="Times New Roman" w:cs="Times New Roman"/>
                <w:sz w:val="18"/>
                <w:szCs w:val="18"/>
              </w:rPr>
              <w:t>остоянен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93631E" w:rsidRDefault="0093631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Брой постъпили жалби срещу решения за откриване на процедури по ЗОП във връзка с</w:t>
            </w:r>
            <w:r w:rsidR="00B350F9">
              <w:rPr>
                <w:rFonts w:ascii="Times New Roman" w:hAnsi="Times New Roman" w:cs="Times New Roman"/>
                <w:sz w:val="18"/>
                <w:szCs w:val="18"/>
              </w:rPr>
              <w:t>ъс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0F9">
              <w:rPr>
                <w:rFonts w:ascii="Times New Roman" w:hAnsi="Times New Roman" w:cs="Times New Roman"/>
                <w:sz w:val="18"/>
                <w:szCs w:val="18"/>
              </w:rPr>
              <w:t>заложени ограничителни условия</w:t>
            </w:r>
          </w:p>
          <w:p w:rsidR="0093631E" w:rsidRPr="00EB2358" w:rsidRDefault="0093631E" w:rsidP="004D63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 различни служители участващи в подготовката на техническите спецификации, работата в комисиите и приемане изпълнението на договорите</w:t>
            </w:r>
          </w:p>
        </w:tc>
        <w:tc>
          <w:tcPr>
            <w:tcW w:w="1418" w:type="dxa"/>
            <w:shd w:val="clear" w:color="auto" w:fill="FFFFFF" w:themeFill="background1"/>
          </w:tcPr>
          <w:p w:rsidR="0093631E" w:rsidRPr="00AD3731" w:rsidRDefault="00BA6E0C" w:rsidP="00BA6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Директори</w:t>
            </w:r>
            <w:r w:rsidR="0093631E">
              <w:rPr>
                <w:rFonts w:ascii="Times New Roman" w:hAnsi="Times New Roman" w:cs="Times New Roman"/>
                <w:sz w:val="18"/>
                <w:szCs w:val="18"/>
              </w:rPr>
              <w:t xml:space="preserve"> на дирекции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които участват в цикъла на обществените поръчки в МРРБ</w:t>
            </w:r>
            <w:r w:rsidR="00AD37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D3731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D3731" w:rsidRPr="00B451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за които тази мярка е </w:t>
            </w:r>
            <w:r w:rsidR="00AD3731" w:rsidRPr="00B451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приложима</w:t>
            </w:r>
          </w:p>
        </w:tc>
        <w:tc>
          <w:tcPr>
            <w:tcW w:w="1976" w:type="dxa"/>
          </w:tcPr>
          <w:p w:rsidR="0093631E" w:rsidRPr="004C31B1" w:rsidRDefault="0093631E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93631E" w:rsidRPr="00EB2358" w:rsidRDefault="0093631E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06894" w:rsidRPr="00EB2358" w:rsidTr="007208CE">
        <w:tc>
          <w:tcPr>
            <w:tcW w:w="3227" w:type="dxa"/>
          </w:tcPr>
          <w:p w:rsidR="00B06894" w:rsidRPr="00F51233" w:rsidRDefault="00B06894" w:rsidP="0092005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Упражняване на предварителен контрол по процедури на ЗОП, оценка на риска, администриране на нередности по европейски </w:t>
            </w:r>
            <w:r w:rsidR="009200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програми  с бенефициент Агенция </w:t>
            </w:r>
            <w:r w:rsidRPr="00F512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„Пътна инфраструктура“ и текущ контрол по изпълнение на сключените договори с възложител </w:t>
            </w:r>
            <w:r w:rsidR="00CE356F">
              <w:rPr>
                <w:rFonts w:ascii="Times New Roman" w:eastAsia="Times New Roman" w:hAnsi="Times New Roman" w:cs="Times New Roman"/>
                <w:sz w:val="18"/>
                <w:szCs w:val="18"/>
              </w:rPr>
              <w:t>АПИ</w:t>
            </w:r>
          </w:p>
          <w:p w:rsidR="00B06894" w:rsidRPr="00F51233" w:rsidRDefault="00B06894" w:rsidP="00920059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06894" w:rsidRPr="00F51233" w:rsidRDefault="00B06894" w:rsidP="007E0B23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B06894" w:rsidRPr="00F51233" w:rsidRDefault="00B06894" w:rsidP="00173D02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Законосъобразност на провежданите процедури и подписваните договори по ЗОП. Недопускане на неправомерни плащания и манипулиране на процедурите</w:t>
            </w:r>
          </w:p>
        </w:tc>
        <w:tc>
          <w:tcPr>
            <w:tcW w:w="1276" w:type="dxa"/>
          </w:tcPr>
          <w:p w:rsidR="00B06894" w:rsidRPr="00F51233" w:rsidRDefault="00B06894" w:rsidP="007E0B23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51233">
              <w:rPr>
                <w:sz w:val="18"/>
                <w:szCs w:val="18"/>
              </w:rPr>
              <w:t>остоянен</w:t>
            </w:r>
          </w:p>
          <w:p w:rsidR="00B06894" w:rsidRPr="00F51233" w:rsidRDefault="00B06894" w:rsidP="007E0B23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B06894" w:rsidRPr="00F51233" w:rsidRDefault="00B06894" w:rsidP="007E0B2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Брой издадени контролни листове, чрез които се удостоверява законосъобразност</w:t>
            </w:r>
            <w:r>
              <w:rPr>
                <w:sz w:val="18"/>
                <w:szCs w:val="18"/>
              </w:rPr>
              <w:t>та</w:t>
            </w:r>
            <w:r w:rsidRPr="00F51233">
              <w:rPr>
                <w:sz w:val="18"/>
                <w:szCs w:val="18"/>
              </w:rPr>
              <w:t xml:space="preserve"> на процедурата по ЗОП</w:t>
            </w:r>
            <w:r>
              <w:rPr>
                <w:sz w:val="18"/>
                <w:szCs w:val="18"/>
              </w:rPr>
              <w:t xml:space="preserve"> </w:t>
            </w:r>
            <w:r w:rsidRPr="00F51233">
              <w:rPr>
                <w:sz w:val="18"/>
                <w:szCs w:val="18"/>
              </w:rPr>
              <w:t>или съответствие при отчетените резултати и действителните резултати в сертификати за плащане за извършена дейност по договор</w:t>
            </w:r>
          </w:p>
        </w:tc>
        <w:tc>
          <w:tcPr>
            <w:tcW w:w="1418" w:type="dxa"/>
          </w:tcPr>
          <w:p w:rsidR="00B06894" w:rsidRPr="00F51233" w:rsidRDefault="00B06894" w:rsidP="007E0B23">
            <w:pPr>
              <w:pStyle w:val="20"/>
              <w:shd w:val="clear" w:color="auto" w:fill="auto"/>
              <w:spacing w:before="0" w:line="240" w:lineRule="auto"/>
              <w:ind w:left="-107" w:right="-108"/>
              <w:jc w:val="left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Председател на Управителния съвет на Агенц</w:t>
            </w:r>
            <w:r>
              <w:rPr>
                <w:sz w:val="18"/>
                <w:szCs w:val="18"/>
              </w:rPr>
              <w:t xml:space="preserve">ия „Пътна инфраструктура“ (АПИ);   </w:t>
            </w:r>
            <w:r w:rsidRPr="00F51233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</w:t>
            </w:r>
            <w:r w:rsidRPr="00F51233">
              <w:rPr>
                <w:sz w:val="18"/>
                <w:szCs w:val="18"/>
              </w:rPr>
              <w:t>на дирекция „Обществени пор</w:t>
            </w:r>
            <w:r>
              <w:rPr>
                <w:sz w:val="18"/>
                <w:szCs w:val="18"/>
              </w:rPr>
              <w:t xml:space="preserve">ъчки и правно обслужване“; </w:t>
            </w:r>
            <w:r w:rsidRPr="00F51233">
              <w:rPr>
                <w:sz w:val="18"/>
                <w:szCs w:val="18"/>
              </w:rPr>
              <w:t>Директор на дирекция „Анализ на ри</w:t>
            </w:r>
            <w:r>
              <w:rPr>
                <w:sz w:val="18"/>
                <w:szCs w:val="18"/>
              </w:rPr>
              <w:t>ска и оперативен контрол“</w:t>
            </w:r>
            <w:r w:rsidR="00A6752F">
              <w:rPr>
                <w:sz w:val="18"/>
                <w:szCs w:val="18"/>
              </w:rPr>
              <w:t xml:space="preserve"> (АРОК)</w:t>
            </w:r>
          </w:p>
        </w:tc>
        <w:tc>
          <w:tcPr>
            <w:tcW w:w="1976" w:type="dxa"/>
          </w:tcPr>
          <w:p w:rsidR="00D22E18" w:rsidRDefault="00D22E18" w:rsidP="007E0B23">
            <w:pPr>
              <w:pStyle w:val="20"/>
              <w:shd w:val="clear" w:color="auto" w:fill="auto"/>
              <w:spacing w:before="0" w:after="120" w:line="240" w:lineRule="auto"/>
              <w:rPr>
                <w:sz w:val="18"/>
                <w:szCs w:val="18"/>
              </w:rPr>
            </w:pPr>
          </w:p>
          <w:p w:rsidR="00B06894" w:rsidRPr="00F51233" w:rsidRDefault="00B06894" w:rsidP="007E0B23">
            <w:pPr>
              <w:pStyle w:val="20"/>
              <w:shd w:val="clear" w:color="auto" w:fill="auto"/>
              <w:spacing w:before="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gridSpan w:val="3"/>
          </w:tcPr>
          <w:p w:rsidR="00B06894" w:rsidRPr="00EB2358" w:rsidRDefault="00B06894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173D02" w:rsidRPr="00EB2358" w:rsidTr="007208CE">
        <w:tc>
          <w:tcPr>
            <w:tcW w:w="15400" w:type="dxa"/>
            <w:gridSpan w:val="12"/>
            <w:shd w:val="clear" w:color="auto" w:fill="92D050"/>
          </w:tcPr>
          <w:p w:rsidR="00173D02" w:rsidRDefault="00173D02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F3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Корупционен риск - извършване на контролни дейности</w:t>
            </w:r>
          </w:p>
          <w:p w:rsidR="00173D02" w:rsidRPr="00F34054" w:rsidRDefault="00173D02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173D02" w:rsidRPr="00EB2358" w:rsidTr="007208CE">
        <w:tc>
          <w:tcPr>
            <w:tcW w:w="3227" w:type="dxa"/>
            <w:shd w:val="clear" w:color="auto" w:fill="FFFFCC"/>
          </w:tcPr>
          <w:p w:rsidR="00173D02" w:rsidRPr="00EB2358" w:rsidRDefault="00173D02" w:rsidP="007E0B23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173D02" w:rsidRPr="00EB2358" w:rsidRDefault="00173D02" w:rsidP="007E0B23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984" w:type="dxa"/>
            <w:shd w:val="clear" w:color="auto" w:fill="FFFFCC"/>
          </w:tcPr>
          <w:p w:rsidR="00173D02" w:rsidRPr="00EB2358" w:rsidRDefault="00173D02" w:rsidP="007E0B23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Крайна цел на мярката</w:t>
            </w:r>
          </w:p>
        </w:tc>
        <w:tc>
          <w:tcPr>
            <w:tcW w:w="1276" w:type="dxa"/>
            <w:shd w:val="clear" w:color="auto" w:fill="FFFFCC"/>
          </w:tcPr>
          <w:p w:rsidR="00173D02" w:rsidRPr="00EB2358" w:rsidRDefault="00173D02" w:rsidP="007E0B23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42" w:type="dxa"/>
            <w:gridSpan w:val="2"/>
            <w:shd w:val="clear" w:color="auto" w:fill="FFFFCC"/>
          </w:tcPr>
          <w:p w:rsidR="00173D02" w:rsidRPr="00EB2358" w:rsidRDefault="00173D02" w:rsidP="007E0B23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FFFFCC"/>
          </w:tcPr>
          <w:p w:rsidR="00173D02" w:rsidRPr="00EB2358" w:rsidRDefault="00173D02" w:rsidP="00D812D5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Отговорно</w:t>
            </w:r>
          </w:p>
          <w:p w:rsidR="00173D02" w:rsidRPr="00EB2358" w:rsidRDefault="00173D02" w:rsidP="00D812D5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173D02" w:rsidRPr="00C63F90" w:rsidRDefault="00173D02" w:rsidP="00012458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173D02" w:rsidRPr="00EB2358" w:rsidRDefault="00173D02" w:rsidP="00012458">
            <w:pPr>
              <w:pStyle w:val="20"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012458">
              <w:rPr>
                <w:rFonts w:eastAsiaTheme="minorHAnsi"/>
                <w:sz w:val="20"/>
                <w:szCs w:val="20"/>
              </w:rPr>
              <w:t xml:space="preserve">Неизпълнение и </w:t>
            </w:r>
            <w:r w:rsidRPr="00012458">
              <w:rPr>
                <w:sz w:val="20"/>
                <w:szCs w:val="20"/>
              </w:rPr>
              <w:t>причини</w:t>
            </w:r>
            <w:r w:rsidRPr="00EB2358">
              <w:rPr>
                <w:sz w:val="20"/>
                <w:szCs w:val="20"/>
              </w:rPr>
              <w:t xml:space="preserve"> при неизпълнение</w:t>
            </w:r>
          </w:p>
        </w:tc>
      </w:tr>
      <w:tr w:rsidR="00173D02" w:rsidRPr="00EB2358" w:rsidTr="00DF6ECC">
        <w:tc>
          <w:tcPr>
            <w:tcW w:w="3227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Засилване на контрола при подготовката и издаването на административен акт</w:t>
            </w:r>
            <w:r w:rsidR="000228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73D0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Организационен/</w:t>
            </w:r>
          </w:p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нормативна уредба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Осигуряване на разделение на функциите и отговор</w:t>
            </w:r>
            <w:r w:rsidR="000228DE">
              <w:rPr>
                <w:rFonts w:ascii="Times New Roman" w:hAnsi="Times New Roman" w:cs="Times New Roman"/>
                <w:sz w:val="18"/>
                <w:szCs w:val="18"/>
              </w:rPr>
              <w:t>ностите в рамките на ГД "СППРР"</w:t>
            </w:r>
          </w:p>
        </w:tc>
        <w:tc>
          <w:tcPr>
            <w:tcW w:w="1276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73D02" w:rsidRPr="008A7045" w:rsidRDefault="00173D02" w:rsidP="008A7045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Въведена електрон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 xml:space="preserve">а кореспонденция с бенефициента чрез ИСУН 2020, както и възможност за електронно изпращане и съгласуване на издадени актове чрез деловодната система </w:t>
            </w:r>
            <w:r w:rsidR="00BA07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МРРБ "</w:t>
            </w:r>
            <w:proofErr w:type="spellStart"/>
            <w:r w:rsidR="00BA0730">
              <w:rPr>
                <w:rFonts w:ascii="Times New Roman" w:hAnsi="Times New Roman" w:cs="Times New Roman"/>
                <w:sz w:val="18"/>
                <w:szCs w:val="18"/>
              </w:rPr>
              <w:t>Акстър</w:t>
            </w:r>
            <w:proofErr w:type="spellEnd"/>
            <w:r w:rsidR="00BA0730">
              <w:rPr>
                <w:rFonts w:ascii="Times New Roman" w:hAnsi="Times New Roman" w:cs="Times New Roman"/>
                <w:sz w:val="18"/>
                <w:szCs w:val="18"/>
              </w:rPr>
              <w:t xml:space="preserve"> офис"</w:t>
            </w:r>
          </w:p>
        </w:tc>
        <w:tc>
          <w:tcPr>
            <w:tcW w:w="1418" w:type="dxa"/>
            <w:shd w:val="clear" w:color="auto" w:fill="FFFFFF" w:themeFill="background1"/>
          </w:tcPr>
          <w:p w:rsidR="00173D02" w:rsidRPr="00C93EF2" w:rsidRDefault="00173D02" w:rsidP="00567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Главен директор </w:t>
            </w:r>
            <w:r w:rsidRPr="00C93EF2">
              <w:rPr>
                <w:rFonts w:ascii="Times New Roman" w:hAnsi="Times New Roman" w:cs="Times New Roman"/>
                <w:sz w:val="18"/>
                <w:szCs w:val="18"/>
              </w:rPr>
              <w:t xml:space="preserve">и началници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C93EF2">
              <w:rPr>
                <w:rFonts w:ascii="Times New Roman" w:hAnsi="Times New Roman" w:cs="Times New Roman"/>
                <w:sz w:val="18"/>
                <w:szCs w:val="18"/>
              </w:rPr>
              <w:t xml:space="preserve">отдели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ГД „СППРР" в МРРБ</w:t>
            </w:r>
          </w:p>
          <w:p w:rsidR="00173D02" w:rsidRPr="00C93EF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73D02" w:rsidRPr="00C93EF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173D02" w:rsidRPr="00EB2358" w:rsidRDefault="00173D02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173D02" w:rsidRPr="00EB2358" w:rsidTr="00DF6ECC">
        <w:tc>
          <w:tcPr>
            <w:tcW w:w="3227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Въвеждане на ясно разписани правила и отговорници, които не позволяват прескачане на звено преди вземане на решение за верификация и възстановяване на разходи на бенефициенти на ОПРР 2014-2020 г.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73D0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Организационен/</w:t>
            </w:r>
          </w:p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нормативна уредба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Осигуряване на разделение на функциите и отговор</w:t>
            </w:r>
            <w:r w:rsidR="000228DE">
              <w:rPr>
                <w:rFonts w:ascii="Times New Roman" w:hAnsi="Times New Roman" w:cs="Times New Roman"/>
                <w:sz w:val="18"/>
                <w:szCs w:val="18"/>
              </w:rPr>
              <w:t>ностите в рамките на ГД "СППРР"</w:t>
            </w:r>
          </w:p>
        </w:tc>
        <w:tc>
          <w:tcPr>
            <w:tcW w:w="1276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Етапите, отговорните лица са описани в НУИОПРР 2014-2020 и Системите за управление и контрол на ОПРР 2014-2020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Извършване на проверките на отговорните лица във връзка с одобрение на разходит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по ОПРР 2014-2020 в ИСУН 2020</w:t>
            </w:r>
          </w:p>
        </w:tc>
        <w:tc>
          <w:tcPr>
            <w:tcW w:w="1418" w:type="dxa"/>
            <w:shd w:val="clear" w:color="auto" w:fill="FFFFFF" w:themeFill="background1"/>
          </w:tcPr>
          <w:p w:rsidR="00173D02" w:rsidRPr="00C93EF2" w:rsidRDefault="00173D02" w:rsidP="00567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Главен директор </w:t>
            </w:r>
            <w:r w:rsidRPr="00C93EF2">
              <w:rPr>
                <w:rFonts w:ascii="Times New Roman" w:hAnsi="Times New Roman" w:cs="Times New Roman"/>
                <w:sz w:val="18"/>
                <w:szCs w:val="18"/>
              </w:rPr>
              <w:t xml:space="preserve">и началници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C93EF2">
              <w:rPr>
                <w:rFonts w:ascii="Times New Roman" w:hAnsi="Times New Roman" w:cs="Times New Roman"/>
                <w:sz w:val="18"/>
                <w:szCs w:val="18"/>
              </w:rPr>
              <w:t xml:space="preserve">отдели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ГД „СППРР" в МРРБ</w:t>
            </w:r>
          </w:p>
          <w:p w:rsidR="00173D02" w:rsidRPr="00C93EF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73D02" w:rsidRPr="00C93EF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173D02" w:rsidRPr="00EB2358" w:rsidRDefault="00173D02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173D02" w:rsidRPr="00EB2358" w:rsidTr="00DF6ECC">
        <w:tc>
          <w:tcPr>
            <w:tcW w:w="3227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Внедряване на софтуерни продукти, които елиминират възможността от манипулации на компютърните системи за отчетност и одобрение на разходите по ОПРР 2014-2020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Организационен/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нормативна уредба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Осигурява намаляване на административната тежест на бенефициентите и служителите на УО на ОПРР 2014-2020, допускане на грешки при отчитане и проверка на разходите и недопускане манипулация на данни.</w:t>
            </w:r>
          </w:p>
        </w:tc>
        <w:tc>
          <w:tcPr>
            <w:tcW w:w="1276" w:type="dxa"/>
            <w:shd w:val="clear" w:color="auto" w:fill="FFFFFF" w:themeFill="background1"/>
          </w:tcPr>
          <w:p w:rsidR="00173D0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Етапите са описани в НУИОПРР 2014-2020 и Системите за управление и контрол на ОПРР 2014-2020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173D02" w:rsidRPr="008A7045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045">
              <w:rPr>
                <w:rFonts w:ascii="Times New Roman" w:hAnsi="Times New Roman" w:cs="Times New Roman"/>
                <w:sz w:val="18"/>
                <w:szCs w:val="18"/>
              </w:rPr>
              <w:t>Изцяло електронно отчитане и одобрение на разходите п</w:t>
            </w:r>
            <w:r w:rsidR="000228DE">
              <w:rPr>
                <w:rFonts w:ascii="Times New Roman" w:hAnsi="Times New Roman" w:cs="Times New Roman"/>
                <w:sz w:val="18"/>
                <w:szCs w:val="18"/>
              </w:rPr>
              <w:t>о ОПРР 2014-2020 г. чрез ИСУН 2020</w:t>
            </w:r>
          </w:p>
        </w:tc>
        <w:tc>
          <w:tcPr>
            <w:tcW w:w="1418" w:type="dxa"/>
            <w:shd w:val="clear" w:color="auto" w:fill="FFFFFF" w:themeFill="background1"/>
          </w:tcPr>
          <w:p w:rsidR="00173D02" w:rsidRPr="00C93EF2" w:rsidRDefault="00173D02" w:rsidP="005673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Главен директор </w:t>
            </w:r>
            <w:r w:rsidRPr="00C93EF2">
              <w:rPr>
                <w:rFonts w:ascii="Times New Roman" w:hAnsi="Times New Roman" w:cs="Times New Roman"/>
                <w:sz w:val="18"/>
                <w:szCs w:val="18"/>
              </w:rPr>
              <w:t xml:space="preserve">и началници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C93EF2">
              <w:rPr>
                <w:rFonts w:ascii="Times New Roman" w:hAnsi="Times New Roman" w:cs="Times New Roman"/>
                <w:sz w:val="18"/>
                <w:szCs w:val="18"/>
              </w:rPr>
              <w:t xml:space="preserve">отдели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ГД „СППРР" в МРРБ</w:t>
            </w:r>
          </w:p>
          <w:p w:rsidR="00173D02" w:rsidRPr="00C93EF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173D02" w:rsidRPr="00C93EF2" w:rsidRDefault="00173D0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173D02" w:rsidRPr="00EB2358" w:rsidRDefault="00173D02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801F12" w:rsidRPr="00EB2358" w:rsidTr="007208CE">
        <w:tc>
          <w:tcPr>
            <w:tcW w:w="3227" w:type="dxa"/>
          </w:tcPr>
          <w:p w:rsidR="00801F12" w:rsidRPr="00112D35" w:rsidRDefault="00801F1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D35">
              <w:rPr>
                <w:rFonts w:ascii="Times New Roman" w:hAnsi="Times New Roman" w:cs="Times New Roman"/>
                <w:sz w:val="18"/>
                <w:szCs w:val="18"/>
              </w:rPr>
              <w:t>Сформиране на група за оценка на риска от измами</w:t>
            </w:r>
          </w:p>
        </w:tc>
        <w:tc>
          <w:tcPr>
            <w:tcW w:w="1701" w:type="dxa"/>
            <w:gridSpan w:val="2"/>
          </w:tcPr>
          <w:p w:rsidR="00801F12" w:rsidRPr="00112D35" w:rsidRDefault="00801F12" w:rsidP="00112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12D35">
              <w:rPr>
                <w:rFonts w:ascii="Times New Roman" w:hAnsi="Times New Roman" w:cs="Times New Roman"/>
                <w:sz w:val="18"/>
                <w:szCs w:val="18"/>
              </w:rPr>
              <w:t>рганизацион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12D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984" w:type="dxa"/>
          </w:tcPr>
          <w:p w:rsidR="00801F12" w:rsidRPr="00112D35" w:rsidRDefault="00801F1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D35">
              <w:rPr>
                <w:rFonts w:ascii="Times New Roman" w:hAnsi="Times New Roman" w:cs="Times New Roman"/>
                <w:sz w:val="18"/>
                <w:szCs w:val="18"/>
              </w:rPr>
              <w:t>Разкриване на еве</w:t>
            </w:r>
            <w:r w:rsidR="002B341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12D35">
              <w:rPr>
                <w:rFonts w:ascii="Times New Roman" w:hAnsi="Times New Roman" w:cs="Times New Roman"/>
                <w:sz w:val="18"/>
                <w:szCs w:val="18"/>
              </w:rPr>
              <w:t>туални рискове за измама и изготвяне на предложения за внедряване на ефективни и пропорционални мерки за борба с измамите</w:t>
            </w:r>
          </w:p>
        </w:tc>
        <w:tc>
          <w:tcPr>
            <w:tcW w:w="1276" w:type="dxa"/>
          </w:tcPr>
          <w:p w:rsidR="00801F12" w:rsidRPr="00112D35" w:rsidRDefault="007605C5" w:rsidP="00760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01.01.2020-31.12.2020</w:t>
            </w:r>
            <w:r w:rsidR="00801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1F12" w:rsidRPr="00112D3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842" w:type="dxa"/>
            <w:gridSpan w:val="2"/>
          </w:tcPr>
          <w:p w:rsidR="00801F12" w:rsidRPr="00112D35" w:rsidRDefault="00801F1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2D35">
              <w:rPr>
                <w:rFonts w:ascii="Times New Roman" w:hAnsi="Times New Roman" w:cs="Times New Roman"/>
                <w:sz w:val="18"/>
                <w:szCs w:val="18"/>
              </w:rPr>
              <w:t>Проведeни</w:t>
            </w:r>
            <w:proofErr w:type="spellEnd"/>
            <w:r w:rsidRPr="00112D35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заседания, извършени оценки и изготвени доклади</w:t>
            </w:r>
          </w:p>
        </w:tc>
        <w:tc>
          <w:tcPr>
            <w:tcW w:w="1418" w:type="dxa"/>
          </w:tcPr>
          <w:p w:rsidR="00801F12" w:rsidRPr="00C96700" w:rsidRDefault="00801F12" w:rsidP="00112D35">
            <w:pPr>
              <w:ind w:left="-107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6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на дирекция </w:t>
            </w:r>
            <w:r w:rsidR="00B451BF" w:rsidRPr="00C96700">
              <w:rPr>
                <w:rFonts w:ascii="Times New Roman" w:hAnsi="Times New Roman" w:cs="Times New Roman"/>
                <w:sz w:val="18"/>
                <w:szCs w:val="18"/>
              </w:rPr>
              <w:t>„Управление на  териториалното сътрудничество“ (УТС) в МРРБ</w:t>
            </w:r>
            <w:r w:rsidRPr="00C9670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801F12" w:rsidRPr="00B350F9" w:rsidRDefault="00801F12" w:rsidP="00112D35">
            <w:pPr>
              <w:ind w:left="-107" w:right="-25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C96700">
              <w:rPr>
                <w:rFonts w:ascii="Times New Roman" w:hAnsi="Times New Roman" w:cs="Times New Roman"/>
                <w:sz w:val="18"/>
                <w:szCs w:val="18"/>
              </w:rPr>
              <w:t xml:space="preserve"> Отдел "Законодателство и и нередности"(ЗН)</w:t>
            </w:r>
          </w:p>
        </w:tc>
        <w:tc>
          <w:tcPr>
            <w:tcW w:w="1976" w:type="dxa"/>
          </w:tcPr>
          <w:p w:rsidR="00801F12" w:rsidRPr="00C93EF2" w:rsidRDefault="00801F12" w:rsidP="007E0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801F12" w:rsidRPr="00EB2358" w:rsidRDefault="00801F12" w:rsidP="007E0B23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801F12" w:rsidRPr="00EB2358" w:rsidTr="007208CE">
        <w:tc>
          <w:tcPr>
            <w:tcW w:w="3227" w:type="dxa"/>
          </w:tcPr>
          <w:p w:rsidR="00801F12" w:rsidRPr="00F51233" w:rsidRDefault="00801F12" w:rsidP="007E0B2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Сътрудничество с неправителствени организации (НПО) при осъществяване на мониторинг по процедури на ЗОП и подписаните договори за изпълнение</w:t>
            </w:r>
          </w:p>
        </w:tc>
        <w:tc>
          <w:tcPr>
            <w:tcW w:w="1701" w:type="dxa"/>
            <w:gridSpan w:val="2"/>
          </w:tcPr>
          <w:p w:rsidR="00801F12" w:rsidRPr="00F51233" w:rsidRDefault="00801F12" w:rsidP="007E0B23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801F12" w:rsidRPr="00F51233" w:rsidRDefault="00D91B70" w:rsidP="00F84541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Осигуряване на п</w:t>
            </w:r>
            <w:r w:rsidR="00801F12" w:rsidRPr="00F51233">
              <w:rPr>
                <w:sz w:val="18"/>
                <w:szCs w:val="18"/>
              </w:rPr>
              <w:t>о-голям</w:t>
            </w:r>
            <w:r w:rsidR="00F84541">
              <w:rPr>
                <w:sz w:val="18"/>
                <w:szCs w:val="18"/>
              </w:rPr>
              <w:t>а прозрачност и външен контрол</w:t>
            </w:r>
          </w:p>
        </w:tc>
        <w:tc>
          <w:tcPr>
            <w:tcW w:w="1276" w:type="dxa"/>
          </w:tcPr>
          <w:p w:rsidR="00801F12" w:rsidRPr="00F51233" w:rsidRDefault="00801F12" w:rsidP="007E0B23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</w:tcPr>
          <w:p w:rsidR="00801F12" w:rsidRDefault="0099134B" w:rsidP="0099134B">
            <w:pPr>
              <w:pStyle w:val="20"/>
              <w:shd w:val="clear" w:color="auto" w:fill="auto"/>
              <w:spacing w:before="0" w:line="240" w:lineRule="auto"/>
              <w:ind w:lef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801F12" w:rsidRPr="00F51233">
              <w:rPr>
                <w:sz w:val="18"/>
                <w:szCs w:val="18"/>
              </w:rPr>
              <w:t>Подписан Пакт с НПО</w:t>
            </w:r>
            <w:r>
              <w:rPr>
                <w:sz w:val="18"/>
                <w:szCs w:val="18"/>
              </w:rPr>
              <w:t xml:space="preserve"> </w:t>
            </w:r>
            <w:r w:rsidR="00801F12" w:rsidRPr="00F51233">
              <w:rPr>
                <w:sz w:val="18"/>
                <w:szCs w:val="18"/>
              </w:rPr>
              <w:t>„Прозрачност</w:t>
            </w:r>
            <w:r>
              <w:rPr>
                <w:sz w:val="18"/>
                <w:szCs w:val="18"/>
              </w:rPr>
              <w:t xml:space="preserve"> </w:t>
            </w:r>
            <w:r w:rsidR="00801F12" w:rsidRPr="00F51233">
              <w:rPr>
                <w:sz w:val="18"/>
                <w:szCs w:val="18"/>
              </w:rPr>
              <w:t>без граници“</w:t>
            </w:r>
            <w:r w:rsidR="00650721">
              <w:rPr>
                <w:sz w:val="18"/>
                <w:szCs w:val="18"/>
              </w:rPr>
              <w:t>;</w:t>
            </w:r>
          </w:p>
          <w:p w:rsidR="0099134B" w:rsidRDefault="0099134B" w:rsidP="0099134B">
            <w:pPr>
              <w:pStyle w:val="20"/>
              <w:shd w:val="clear" w:color="auto" w:fill="auto"/>
              <w:spacing w:before="0" w:line="240" w:lineRule="auto"/>
              <w:ind w:lef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2.Сформиран Комитет за наблюдение на изграждането на АМ „Струма“ с представители на министерства, областни управители и екоорганизации</w:t>
            </w:r>
            <w:r w:rsidR="00650721">
              <w:rPr>
                <w:sz w:val="18"/>
                <w:szCs w:val="18"/>
              </w:rPr>
              <w:t>;</w:t>
            </w:r>
          </w:p>
          <w:p w:rsidR="0099134B" w:rsidRPr="00F51233" w:rsidRDefault="0099134B" w:rsidP="0099134B">
            <w:pPr>
              <w:pStyle w:val="20"/>
              <w:shd w:val="clear" w:color="auto" w:fill="auto"/>
              <w:spacing w:before="0" w:line="240" w:lineRule="auto"/>
              <w:ind w:lef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3.Сформиран обществен консултативен съвет с участие на браншови </w:t>
            </w:r>
            <w:r>
              <w:rPr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1418" w:type="dxa"/>
          </w:tcPr>
          <w:p w:rsidR="00801F12" w:rsidRPr="00F51233" w:rsidRDefault="00801F12" w:rsidP="007E0B23">
            <w:pPr>
              <w:pStyle w:val="NoSpacing"/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Председател на УС на АПИ; </w:t>
            </w:r>
          </w:p>
          <w:p w:rsidR="00321DDA" w:rsidRDefault="00801F12" w:rsidP="007E0B23">
            <w:pPr>
              <w:pStyle w:val="NoSpacing"/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Директор на дирекция „Изпълнение на проекти по оперативна програма „Транспорт и транспортна инфраструктура“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2014-2020</w:t>
            </w:r>
            <w:r w:rsidR="00321D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21DDA" w:rsidRDefault="00321DDA" w:rsidP="007E0B23">
            <w:pPr>
              <w:pStyle w:val="NoSpacing"/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на Национално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(НТУ)</w:t>
            </w:r>
          </w:p>
          <w:p w:rsidR="00801F12" w:rsidRPr="00F51233" w:rsidRDefault="00801F12" w:rsidP="007E0B23">
            <w:pPr>
              <w:pStyle w:val="NoSpacing"/>
              <w:ind w:left="-107" w:right="-108"/>
            </w:pPr>
            <w:r w:rsidRPr="00F51233">
              <w:lastRenderedPageBreak/>
              <w:t xml:space="preserve"> </w:t>
            </w:r>
          </w:p>
        </w:tc>
        <w:tc>
          <w:tcPr>
            <w:tcW w:w="1976" w:type="dxa"/>
          </w:tcPr>
          <w:p w:rsidR="00801F12" w:rsidRPr="00C93EF2" w:rsidRDefault="00801F12" w:rsidP="00D41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801F12" w:rsidRPr="00EB2358" w:rsidRDefault="00801F12" w:rsidP="00D41E4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A6752F">
        <w:tc>
          <w:tcPr>
            <w:tcW w:w="3227" w:type="dxa"/>
          </w:tcPr>
          <w:p w:rsidR="00D91B70" w:rsidRPr="0010665C" w:rsidRDefault="000605F8" w:rsidP="000605F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Въвеждане на ротация на служители </w:t>
            </w:r>
            <w:r w:rsidR="00D91B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 </w:t>
            </w:r>
            <w:r w:rsidR="00D91B70"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извършване на </w:t>
            </w:r>
            <w:r w:rsidR="00D91B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</w:t>
            </w:r>
            <w:r w:rsidR="00D91B70"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верка от мобилни групи по чл.10а /</w:t>
            </w:r>
            <w:r w:rsidR="00D91B70" w:rsidRPr="0010665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контрол на масата и габаритните </w:t>
            </w:r>
            <w:r w:rsidR="00D91B7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размери на пътни превозни средства</w:t>
            </w:r>
            <w:r w:rsidR="00D91B70" w:rsidRPr="0010665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/</w:t>
            </w:r>
            <w:r w:rsidR="00D91B70"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и чл.10б / </w:t>
            </w:r>
            <w:r w:rsidR="00D91B70" w:rsidRPr="0010665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мобилен контрол за заплащане на </w:t>
            </w:r>
            <w:proofErr w:type="spellStart"/>
            <w:r w:rsidR="00D91B70" w:rsidRPr="0010665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Тол</w:t>
            </w:r>
            <w:proofErr w:type="spellEnd"/>
            <w:r w:rsidR="00D91B70" w:rsidRPr="0010665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– такси/</w:t>
            </w:r>
            <w:r w:rsidR="00D91B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Закона за пътищата (</w:t>
            </w:r>
            <w:r w:rsidR="00D91B70"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ЗП</w:t>
            </w:r>
            <w:r w:rsidR="00D91B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D91B70" w:rsidRPr="0010665C" w:rsidRDefault="00D91B70" w:rsidP="00D91B7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D91B70" w:rsidRPr="0010665C" w:rsidRDefault="009175A3" w:rsidP="00F5120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75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Превенция за </w:t>
            </w:r>
            <w:r w:rsidR="00F51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възникване на корупционни практики</w:t>
            </w:r>
          </w:p>
        </w:tc>
        <w:tc>
          <w:tcPr>
            <w:tcW w:w="1276" w:type="dxa"/>
          </w:tcPr>
          <w:p w:rsidR="00D91B70" w:rsidRPr="0010665C" w:rsidRDefault="00D91B70" w:rsidP="00D91B7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</w:tcPr>
          <w:p w:rsidR="00D91B70" w:rsidRPr="0010665C" w:rsidRDefault="00D91B70" w:rsidP="00D9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Брой  на проверките </w:t>
            </w:r>
          </w:p>
          <w:p w:rsidR="00D91B70" w:rsidRPr="0010665C" w:rsidRDefault="00D91B70" w:rsidP="00D91B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1B70" w:rsidRPr="0010665C" w:rsidRDefault="00D91B70" w:rsidP="001A391A">
            <w:pPr>
              <w:ind w:left="-103" w:right="-1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1A39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тдел „</w:t>
            </w: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Контрол по РПМ“, отдел „</w:t>
            </w:r>
            <w:proofErr w:type="spellStart"/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Мониторинг“в</w:t>
            </w:r>
            <w:proofErr w:type="spellEnd"/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дирекция  „</w:t>
            </w:r>
            <w:r w:rsidR="001A39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АРОК“ </w:t>
            </w: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</w:t>
            </w:r>
            <w:r w:rsidR="001A39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066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„Контрол и правоприлагане“  в НТУ</w:t>
            </w:r>
            <w:r w:rsidR="00A228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АПИ</w:t>
            </w:r>
          </w:p>
        </w:tc>
        <w:tc>
          <w:tcPr>
            <w:tcW w:w="1976" w:type="dxa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A6752F">
        <w:tc>
          <w:tcPr>
            <w:tcW w:w="3227" w:type="dxa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Извършване на постоянно видеонаблюдение и контрол за достъпа в административн</w:t>
            </w:r>
            <w:r>
              <w:rPr>
                <w:sz w:val="18"/>
                <w:szCs w:val="18"/>
              </w:rPr>
              <w:t>и</w:t>
            </w:r>
            <w:r w:rsidRPr="00F51233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 w:rsidRPr="00F51233">
              <w:rPr>
                <w:sz w:val="18"/>
                <w:szCs w:val="18"/>
              </w:rPr>
              <w:t xml:space="preserve"> сград</w:t>
            </w:r>
            <w:r>
              <w:rPr>
                <w:sz w:val="18"/>
                <w:szCs w:val="18"/>
              </w:rPr>
              <w:t>и</w:t>
            </w:r>
            <w:r w:rsidRPr="00F51233">
              <w:rPr>
                <w:sz w:val="18"/>
                <w:szCs w:val="18"/>
              </w:rPr>
              <w:t xml:space="preserve"> на АПИ</w:t>
            </w:r>
            <w:r>
              <w:rPr>
                <w:sz w:val="18"/>
                <w:szCs w:val="18"/>
              </w:rPr>
              <w:t xml:space="preserve"> и Агенция </w:t>
            </w:r>
            <w:r w:rsidRPr="00920059">
              <w:rPr>
                <w:sz w:val="18"/>
                <w:szCs w:val="18"/>
              </w:rPr>
              <w:t>по геодезия, картография и кадастър</w:t>
            </w:r>
            <w:r>
              <w:rPr>
                <w:sz w:val="18"/>
                <w:szCs w:val="18"/>
              </w:rPr>
              <w:t xml:space="preserve"> (АГКК)</w:t>
            </w:r>
            <w:r w:rsidRPr="00F51233">
              <w:rPr>
                <w:sz w:val="18"/>
                <w:szCs w:val="18"/>
              </w:rPr>
              <w:t>, както и в залите за провеждане на процедури и съхранение на документация по ЗОП</w:t>
            </w:r>
          </w:p>
        </w:tc>
        <w:tc>
          <w:tcPr>
            <w:tcW w:w="1701" w:type="dxa"/>
            <w:gridSpan w:val="2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Предотвратяване на нерегламентирано и</w:t>
            </w:r>
            <w:r>
              <w:rPr>
                <w:sz w:val="18"/>
                <w:szCs w:val="18"/>
              </w:rPr>
              <w:t>знасяне на информация</w:t>
            </w:r>
            <w:r w:rsidRPr="00F51233">
              <w:rPr>
                <w:sz w:val="18"/>
                <w:szCs w:val="18"/>
              </w:rPr>
              <w:t xml:space="preserve"> и осъществяване на корупционни </w:t>
            </w:r>
            <w:r>
              <w:rPr>
                <w:sz w:val="18"/>
                <w:szCs w:val="18"/>
              </w:rPr>
              <w:t>практики</w:t>
            </w:r>
          </w:p>
        </w:tc>
        <w:tc>
          <w:tcPr>
            <w:tcW w:w="1276" w:type="dxa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Осигурено видеонаблюдение и засилен контрол на достъп на служители и външни лица</w:t>
            </w:r>
          </w:p>
        </w:tc>
        <w:tc>
          <w:tcPr>
            <w:tcW w:w="1418" w:type="dxa"/>
          </w:tcPr>
          <w:p w:rsidR="00D91B70" w:rsidRDefault="00D91B70" w:rsidP="00D91B70">
            <w:pPr>
              <w:pStyle w:val="20"/>
              <w:shd w:val="clear" w:color="auto" w:fill="auto"/>
              <w:spacing w:before="0" w:line="240" w:lineRule="auto"/>
              <w:ind w:left="-107" w:right="-108"/>
              <w:jc w:val="left"/>
              <w:rPr>
                <w:sz w:val="18"/>
                <w:szCs w:val="18"/>
              </w:rPr>
            </w:pPr>
            <w:r w:rsidRPr="00F51233">
              <w:rPr>
                <w:sz w:val="18"/>
                <w:szCs w:val="18"/>
              </w:rPr>
              <w:t>Председател на УС на АПИ;</w:t>
            </w:r>
            <w:r>
              <w:rPr>
                <w:sz w:val="18"/>
                <w:szCs w:val="18"/>
              </w:rPr>
              <w:t xml:space="preserve"> </w:t>
            </w:r>
            <w:r w:rsidRPr="00F51233">
              <w:rPr>
                <w:sz w:val="18"/>
                <w:szCs w:val="18"/>
              </w:rPr>
              <w:t xml:space="preserve"> Директор на дирекция „</w:t>
            </w:r>
            <w:proofErr w:type="spellStart"/>
            <w:r w:rsidRPr="00F51233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F51233">
              <w:rPr>
                <w:sz w:val="18"/>
                <w:szCs w:val="18"/>
              </w:rPr>
              <w:t>тивно</w:t>
            </w:r>
            <w:proofErr w:type="spellEnd"/>
            <w:r w:rsidRPr="00F51233">
              <w:rPr>
                <w:sz w:val="18"/>
                <w:szCs w:val="18"/>
              </w:rPr>
              <w:t xml:space="preserve"> обслужване, човешки ресурси и управле</w:t>
            </w:r>
            <w:r>
              <w:rPr>
                <w:sz w:val="18"/>
                <w:szCs w:val="18"/>
              </w:rPr>
              <w:t>ние на собствеността“;</w:t>
            </w:r>
          </w:p>
          <w:p w:rsidR="00D91B70" w:rsidRPr="00F51233" w:rsidRDefault="00D91B70" w:rsidP="00D91B70">
            <w:pPr>
              <w:pStyle w:val="20"/>
              <w:shd w:val="clear" w:color="auto" w:fill="auto"/>
              <w:spacing w:before="0" w:line="240" w:lineRule="auto"/>
              <w:ind w:left="-107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Изпълнителен директор на АГКК </w:t>
            </w:r>
          </w:p>
        </w:tc>
        <w:tc>
          <w:tcPr>
            <w:tcW w:w="1976" w:type="dxa"/>
          </w:tcPr>
          <w:p w:rsidR="00D91B70" w:rsidRPr="00F51233" w:rsidRDefault="00D91B70" w:rsidP="00D91B70">
            <w:pPr>
              <w:pStyle w:val="20"/>
              <w:shd w:val="clear" w:color="auto" w:fill="auto"/>
              <w:spacing w:before="0" w:after="120" w:line="240" w:lineRule="auto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15400" w:type="dxa"/>
            <w:gridSpan w:val="12"/>
            <w:shd w:val="clear" w:color="auto" w:fill="92D050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Корупционен риск - предоставяне на административни услуги, концесии, издаване на лицензи и разрешения, регистрационни режими, търгове</w:t>
            </w:r>
          </w:p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3227" w:type="dxa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984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Крайна цел на мярката</w:t>
            </w:r>
          </w:p>
        </w:tc>
        <w:tc>
          <w:tcPr>
            <w:tcW w:w="1276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42" w:type="dxa"/>
            <w:gridSpan w:val="2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Отговорно</w:t>
            </w:r>
          </w:p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D91B70" w:rsidRPr="00025A55" w:rsidRDefault="00D91B70" w:rsidP="00D91B70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012458">
              <w:rPr>
                <w:rFonts w:eastAsiaTheme="minorHAnsi"/>
                <w:sz w:val="20"/>
                <w:szCs w:val="20"/>
              </w:rPr>
              <w:t xml:space="preserve">Неизпълнение и </w:t>
            </w:r>
            <w:r w:rsidRPr="00012458">
              <w:rPr>
                <w:sz w:val="20"/>
                <w:szCs w:val="20"/>
              </w:rPr>
              <w:t>причини</w:t>
            </w:r>
            <w:r w:rsidRPr="00EB2358">
              <w:rPr>
                <w:sz w:val="20"/>
                <w:szCs w:val="20"/>
              </w:rPr>
              <w:t xml:space="preserve"> при неизпълнение</w:t>
            </w:r>
          </w:p>
        </w:tc>
      </w:tr>
      <w:tr w:rsidR="00D91B70" w:rsidRPr="00EB2358" w:rsidTr="007208CE">
        <w:tc>
          <w:tcPr>
            <w:tcW w:w="3227" w:type="dxa"/>
          </w:tcPr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 xml:space="preserve">Въвеждане на ротационен принцип при определяне на отговорен експерт и членовете на комисиите за предоставяне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 xml:space="preserve"> „Издаване на разрешение за оценяване на строителни продукти и на разрешение за издаване на технически одобрения и оценки на строителни продукти“ </w:t>
            </w:r>
          </w:p>
        </w:tc>
        <w:tc>
          <w:tcPr>
            <w:tcW w:w="1701" w:type="dxa"/>
            <w:gridSpan w:val="2"/>
          </w:tcPr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Подобряване административното обслужване</w:t>
            </w:r>
          </w:p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Установяване на нарушения, които не са били констатирани преди това</w:t>
            </w:r>
          </w:p>
        </w:tc>
        <w:tc>
          <w:tcPr>
            <w:tcW w:w="1276" w:type="dxa"/>
          </w:tcPr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</w:tcPr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Брой подадени жалби от лицата за оценяване на строителни продукти и икономически оператори.</w:t>
            </w:r>
          </w:p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Брой обжалвани решения за отнемане на разрешения и постановления на съда</w:t>
            </w:r>
          </w:p>
        </w:tc>
        <w:tc>
          <w:tcPr>
            <w:tcW w:w="1418" w:type="dxa"/>
          </w:tcPr>
          <w:p w:rsidR="00D91B7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на дирекция „Технически правила и норми“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(ТПН) </w:t>
            </w: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в МРРБ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1B70" w:rsidRPr="00AD6116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116">
              <w:rPr>
                <w:rFonts w:ascii="Times New Roman" w:hAnsi="Times New Roman" w:cs="Times New Roman"/>
                <w:sz w:val="18"/>
                <w:szCs w:val="18"/>
              </w:rPr>
              <w:t>Началник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отдел „Строителни продукти“</w:t>
            </w:r>
          </w:p>
        </w:tc>
        <w:tc>
          <w:tcPr>
            <w:tcW w:w="1976" w:type="dxa"/>
          </w:tcPr>
          <w:p w:rsidR="00D91B70" w:rsidRPr="008438B8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8438B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3227" w:type="dxa"/>
          </w:tcPr>
          <w:p w:rsidR="00D91B70" w:rsidRPr="00B47C55" w:rsidRDefault="00D91B70" w:rsidP="00B43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3D8">
              <w:rPr>
                <w:rFonts w:ascii="Times New Roman" w:hAnsi="Times New Roman" w:cs="Times New Roman"/>
                <w:sz w:val="18"/>
                <w:szCs w:val="18"/>
              </w:rPr>
              <w:t xml:space="preserve">Недопускане на индивидуална комуникация между заявители – физически лица на административна </w:t>
            </w:r>
            <w:r w:rsidRPr="0000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услуга (АУ-17) и служителите от дирекция „</w:t>
            </w:r>
            <w:proofErr w:type="spellStart"/>
            <w:r w:rsidRPr="000073D8">
              <w:rPr>
                <w:rFonts w:ascii="Times New Roman" w:hAnsi="Times New Roman" w:cs="Times New Roman"/>
                <w:sz w:val="18"/>
                <w:szCs w:val="18"/>
              </w:rPr>
              <w:t>Геозащита</w:t>
            </w:r>
            <w:proofErr w:type="spellEnd"/>
            <w:r w:rsidRPr="000073D8">
              <w:rPr>
                <w:rFonts w:ascii="Times New Roman" w:hAnsi="Times New Roman" w:cs="Times New Roman"/>
                <w:sz w:val="18"/>
                <w:szCs w:val="18"/>
              </w:rPr>
              <w:t xml:space="preserve"> и благоустройствени дейности“ (ГБД), предоставяща услугата</w:t>
            </w:r>
          </w:p>
        </w:tc>
        <w:tc>
          <w:tcPr>
            <w:tcW w:w="1701" w:type="dxa"/>
            <w:gridSpan w:val="2"/>
          </w:tcPr>
          <w:p w:rsidR="00D91B70" w:rsidRPr="000073D8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Организационен</w:t>
            </w:r>
          </w:p>
        </w:tc>
        <w:tc>
          <w:tcPr>
            <w:tcW w:w="1984" w:type="dxa"/>
          </w:tcPr>
          <w:p w:rsidR="00D91B70" w:rsidRPr="000073D8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3D8">
              <w:rPr>
                <w:rFonts w:ascii="Times New Roman" w:hAnsi="Times New Roman" w:cs="Times New Roman"/>
                <w:sz w:val="18"/>
                <w:szCs w:val="18"/>
              </w:rPr>
              <w:t xml:space="preserve">Ограничаване възможността на  субективния фактор </w:t>
            </w:r>
            <w:r w:rsidRPr="0000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 влияе върху процеса  и решението относно предоставяне на услугата</w:t>
            </w:r>
          </w:p>
        </w:tc>
        <w:tc>
          <w:tcPr>
            <w:tcW w:w="1276" w:type="dxa"/>
          </w:tcPr>
          <w:p w:rsidR="00D91B70" w:rsidRPr="000073D8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Постоянен</w:t>
            </w:r>
          </w:p>
        </w:tc>
        <w:tc>
          <w:tcPr>
            <w:tcW w:w="1842" w:type="dxa"/>
            <w:gridSpan w:val="2"/>
          </w:tcPr>
          <w:p w:rsidR="00D91B70" w:rsidRPr="00B47C55" w:rsidRDefault="00D91B70" w:rsidP="00BA7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3D8">
              <w:rPr>
                <w:rFonts w:ascii="Times New Roman" w:hAnsi="Times New Roman" w:cs="Times New Roman"/>
                <w:sz w:val="18"/>
                <w:szCs w:val="18"/>
              </w:rPr>
              <w:t xml:space="preserve">Брой </w:t>
            </w:r>
            <w:r w:rsidR="00BA7B6E">
              <w:rPr>
                <w:rFonts w:ascii="Times New Roman" w:hAnsi="Times New Roman" w:cs="Times New Roman"/>
                <w:sz w:val="18"/>
                <w:szCs w:val="18"/>
              </w:rPr>
              <w:t xml:space="preserve">обработени </w:t>
            </w:r>
            <w:r w:rsidRPr="000073D8">
              <w:rPr>
                <w:rFonts w:ascii="Times New Roman" w:hAnsi="Times New Roman" w:cs="Times New Roman"/>
                <w:sz w:val="18"/>
                <w:szCs w:val="18"/>
              </w:rPr>
              <w:t xml:space="preserve">искания за издаване на предварителни </w:t>
            </w:r>
            <w:r w:rsidRPr="0000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съгласия по чл. 96, ал. 3 и ал. 4 от Закон за устройство на територията (ЗУТ)</w:t>
            </w:r>
          </w:p>
        </w:tc>
        <w:tc>
          <w:tcPr>
            <w:tcW w:w="1418" w:type="dxa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на дирекция „ГБД“ в МРРБ</w:t>
            </w:r>
          </w:p>
        </w:tc>
        <w:tc>
          <w:tcPr>
            <w:tcW w:w="1976" w:type="dxa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8438B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15400" w:type="dxa"/>
            <w:gridSpan w:val="12"/>
            <w:shd w:val="clear" w:color="auto" w:fill="92D050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D91B70" w:rsidRPr="00EB2358" w:rsidTr="007208CE">
        <w:tc>
          <w:tcPr>
            <w:tcW w:w="3227" w:type="dxa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984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Крайна цел на мярката</w:t>
            </w:r>
          </w:p>
        </w:tc>
        <w:tc>
          <w:tcPr>
            <w:tcW w:w="1276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42" w:type="dxa"/>
            <w:gridSpan w:val="2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Отговорно</w:t>
            </w:r>
          </w:p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D91B70" w:rsidRPr="00025A55" w:rsidRDefault="00D91B70" w:rsidP="00D91B70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012458">
              <w:rPr>
                <w:rFonts w:eastAsiaTheme="minorHAnsi"/>
                <w:sz w:val="20"/>
                <w:szCs w:val="20"/>
              </w:rPr>
              <w:t xml:space="preserve">Неизпълнение и </w:t>
            </w:r>
            <w:r w:rsidRPr="00012458">
              <w:rPr>
                <w:sz w:val="20"/>
                <w:szCs w:val="20"/>
              </w:rPr>
              <w:t>причини</w:t>
            </w:r>
            <w:r w:rsidRPr="00EB2358">
              <w:rPr>
                <w:sz w:val="20"/>
                <w:szCs w:val="20"/>
              </w:rPr>
              <w:t xml:space="preserve"> при неизпълнение</w:t>
            </w:r>
          </w:p>
        </w:tc>
      </w:tr>
      <w:tr w:rsidR="00D91B70" w:rsidRPr="00EB2358" w:rsidTr="00D950D2">
        <w:tc>
          <w:tcPr>
            <w:tcW w:w="3227" w:type="dxa"/>
            <w:shd w:val="clear" w:color="auto" w:fill="auto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489">
              <w:rPr>
                <w:rFonts w:ascii="Times New Roman" w:hAnsi="Times New Roman" w:cs="Times New Roman"/>
                <w:sz w:val="18"/>
                <w:szCs w:val="18"/>
              </w:rPr>
              <w:t xml:space="preserve">Участие на представител на професионалната организация - Камарата на инженерите по геодезия  в комисията за вписване на кандидатите в регистъра на правоспособните лица за извършване на дейности по кадастър </w:t>
            </w:r>
            <w:r w:rsidRPr="000D648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0D64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gridSpan w:val="2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Прозрачност в дейността на комисията, която разглежда заявленията за вписване в </w:t>
            </w:r>
            <w:r w:rsidRPr="000D6489">
              <w:rPr>
                <w:rFonts w:ascii="Times New Roman" w:hAnsi="Times New Roman" w:cs="Times New Roman"/>
                <w:sz w:val="18"/>
                <w:szCs w:val="18"/>
              </w:rPr>
              <w:t>регистъра на правоспособните лица за извършване на дейности по кадастър</w:t>
            </w:r>
          </w:p>
        </w:tc>
        <w:tc>
          <w:tcPr>
            <w:tcW w:w="1276" w:type="dxa"/>
          </w:tcPr>
          <w:p w:rsidR="00D91B70" w:rsidRPr="00B47C55" w:rsidRDefault="00D91B70" w:rsidP="00D91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Отменени заповеди за отказ за вписване в </w:t>
            </w:r>
            <w:r w:rsidRPr="000D6489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гистъра на правоспособните лица</w:t>
            </w:r>
          </w:p>
        </w:tc>
        <w:tc>
          <w:tcPr>
            <w:tcW w:w="1418" w:type="dxa"/>
          </w:tcPr>
          <w:p w:rsidR="00D91B7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3F5">
              <w:rPr>
                <w:rFonts w:ascii="Times New Roman" w:hAnsi="Times New Roman" w:cs="Times New Roman"/>
                <w:sz w:val="18"/>
                <w:szCs w:val="18"/>
              </w:rPr>
              <w:t>Изпълнителен директор на АГКК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на дирекция „Геодезия, картография и кадастър“ </w:t>
            </w:r>
          </w:p>
        </w:tc>
        <w:tc>
          <w:tcPr>
            <w:tcW w:w="1976" w:type="dxa"/>
          </w:tcPr>
          <w:p w:rsidR="00D91B70" w:rsidRPr="00B47C5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15400" w:type="dxa"/>
            <w:gridSpan w:val="12"/>
            <w:shd w:val="clear" w:color="auto" w:fill="92D050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Корупционен риск - празноти в закони и/или неясна нормативна уредба, водещи до противоречиво тълкуване и/или прилагане на нормативните актове</w:t>
            </w:r>
          </w:p>
        </w:tc>
      </w:tr>
      <w:tr w:rsidR="00D91B70" w:rsidRPr="00EB2358" w:rsidTr="007208CE">
        <w:tc>
          <w:tcPr>
            <w:tcW w:w="3227" w:type="dxa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984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Крайна цел на мярката</w:t>
            </w:r>
          </w:p>
        </w:tc>
        <w:tc>
          <w:tcPr>
            <w:tcW w:w="1276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42" w:type="dxa"/>
            <w:gridSpan w:val="2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Отговорно</w:t>
            </w:r>
          </w:p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D91B70" w:rsidRPr="00025A55" w:rsidRDefault="00D91B70" w:rsidP="00D91B70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012458">
              <w:rPr>
                <w:rFonts w:eastAsiaTheme="minorHAnsi"/>
                <w:sz w:val="20"/>
                <w:szCs w:val="20"/>
              </w:rPr>
              <w:t xml:space="preserve">Неизпълнение и </w:t>
            </w:r>
            <w:r w:rsidRPr="00012458">
              <w:rPr>
                <w:sz w:val="20"/>
                <w:szCs w:val="20"/>
              </w:rPr>
              <w:t>причини</w:t>
            </w:r>
            <w:r w:rsidRPr="00EB2358">
              <w:rPr>
                <w:sz w:val="20"/>
                <w:szCs w:val="20"/>
              </w:rPr>
              <w:t xml:space="preserve"> при неизпълнение</w:t>
            </w:r>
          </w:p>
        </w:tc>
      </w:tr>
      <w:tr w:rsidR="00D91B70" w:rsidRPr="00EB2358" w:rsidTr="00D950D2">
        <w:tc>
          <w:tcPr>
            <w:tcW w:w="3227" w:type="dxa"/>
            <w:shd w:val="clear" w:color="auto" w:fill="auto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ровежда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на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 на бенефициенти, свързани с указания за сключване на договори за предоставяне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безвъзмездна финансова помощ;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убликува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на интернет страницата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добри практики, които да служат на бенефициентите при провеждане на обществени поръчки;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убликува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на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нтернет страницата на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анализ на най-често срещаните 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нарушения при възлагане на обществени поръчки, установени при контрол на обществени поръчки, както и установени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одитната практика;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ровежда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на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разяснителни кампании за бенефициенти, с цел избягване на неефектив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 разходване на средства от ЕС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Ефикасно разходване и максимално усвояване на средствата от </w:t>
            </w:r>
            <w:r w:rsidRPr="005A2256">
              <w:rPr>
                <w:rFonts w:ascii="Times New Roman" w:hAnsi="Times New Roman" w:cs="Times New Roman"/>
                <w:sz w:val="18"/>
                <w:szCs w:val="18"/>
              </w:rPr>
              <w:t xml:space="preserve">Европейския фонд за регионално 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ЕФРР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Законосъобразно сключени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Договори за безвъзмездна финансова помощ (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ДБФП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законосъобраз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 проведени обществени поръчки</w:t>
            </w:r>
          </w:p>
        </w:tc>
        <w:tc>
          <w:tcPr>
            <w:tcW w:w="1418" w:type="dxa"/>
            <w:shd w:val="clear" w:color="auto" w:fill="auto"/>
          </w:tcPr>
          <w:p w:rsidR="00D91B70" w:rsidRPr="00683EE5" w:rsidRDefault="00D91B70" w:rsidP="00D91B70">
            <w:pPr>
              <w:ind w:left="-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Главен директор 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и началници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отдели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6641E">
              <w:rPr>
                <w:rFonts w:ascii="Times New Roman" w:hAnsi="Times New Roman" w:cs="Times New Roman"/>
                <w:sz w:val="18"/>
                <w:szCs w:val="18"/>
              </w:rPr>
              <w:t>ГД „СППРР"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МРРБ</w:t>
            </w:r>
          </w:p>
        </w:tc>
        <w:tc>
          <w:tcPr>
            <w:tcW w:w="1976" w:type="dxa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3227" w:type="dxa"/>
          </w:tcPr>
          <w:p w:rsidR="00D91B70" w:rsidRPr="00FC19EF" w:rsidRDefault="00D91B70" w:rsidP="007D7A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9EF">
              <w:rPr>
                <w:rFonts w:ascii="Times New Roman" w:hAnsi="Times New Roman" w:cs="Times New Roman"/>
                <w:sz w:val="18"/>
                <w:szCs w:val="18"/>
              </w:rPr>
              <w:t xml:space="preserve">Издаване указания до службите по геодезия, картография и кадастър (СГКК) за уеднаквяване практиката по прилагането на нормативната уредба в сферата на кадастъра и геодезията </w:t>
            </w:r>
            <w:r w:rsidR="007D7A45">
              <w:rPr>
                <w:rFonts w:ascii="Times New Roman" w:hAnsi="Times New Roman" w:cs="Times New Roman"/>
                <w:sz w:val="18"/>
                <w:szCs w:val="18"/>
              </w:rPr>
              <w:t xml:space="preserve">във връзка с приетите изменения през 2019 г. в </w:t>
            </w:r>
            <w:r w:rsidRPr="00FC19EF">
              <w:rPr>
                <w:rFonts w:ascii="Times New Roman" w:hAnsi="Times New Roman" w:cs="Times New Roman"/>
                <w:sz w:val="18"/>
                <w:szCs w:val="18"/>
              </w:rPr>
              <w:t xml:space="preserve">Закон за геодезията и картографията, Наредба № РД-02-20-5 от 15.12.2016 г., </w:t>
            </w:r>
            <w:r w:rsidR="007D7A4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C19EF">
              <w:rPr>
                <w:rFonts w:ascii="Times New Roman" w:hAnsi="Times New Roman" w:cs="Times New Roman"/>
                <w:sz w:val="18"/>
                <w:szCs w:val="18"/>
              </w:rPr>
              <w:t>Наредба</w:t>
            </w:r>
            <w:r w:rsidR="007D7A45">
              <w:rPr>
                <w:rFonts w:ascii="Times New Roman" w:hAnsi="Times New Roman" w:cs="Times New Roman"/>
                <w:sz w:val="18"/>
                <w:szCs w:val="18"/>
              </w:rPr>
              <w:t xml:space="preserve"> № РД-02-20-4 от 11.10.2016 г.</w:t>
            </w:r>
          </w:p>
        </w:tc>
        <w:tc>
          <w:tcPr>
            <w:tcW w:w="1701" w:type="dxa"/>
            <w:gridSpan w:val="2"/>
          </w:tcPr>
          <w:p w:rsidR="00D91B70" w:rsidRPr="00264943" w:rsidRDefault="00D91B70" w:rsidP="001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D91B70" w:rsidRPr="0060558A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58A">
              <w:rPr>
                <w:rFonts w:ascii="Times New Roman" w:hAnsi="Times New Roman" w:cs="Times New Roman"/>
                <w:sz w:val="18"/>
                <w:szCs w:val="18"/>
              </w:rPr>
              <w:t>Уеднаквяване дейността на всички СГКК при прилагане на нормативните актове в областта на кадастъра и геодезията</w:t>
            </w:r>
            <w:r w:rsidR="00187007">
              <w:rPr>
                <w:rFonts w:ascii="Times New Roman" w:hAnsi="Times New Roman" w:cs="Times New Roman"/>
                <w:sz w:val="18"/>
                <w:szCs w:val="18"/>
              </w:rPr>
              <w:t xml:space="preserve">, във връзка с промените </w:t>
            </w:r>
          </w:p>
        </w:tc>
        <w:tc>
          <w:tcPr>
            <w:tcW w:w="1276" w:type="dxa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Оплаквания и сигнали, относно нееднозначно прилагане на нормативната уредба</w:t>
            </w:r>
          </w:p>
        </w:tc>
        <w:tc>
          <w:tcPr>
            <w:tcW w:w="1418" w:type="dxa"/>
          </w:tcPr>
          <w:p w:rsidR="00D91B7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19EF">
              <w:rPr>
                <w:rFonts w:ascii="Times New Roman" w:hAnsi="Times New Roman" w:cs="Times New Roman"/>
                <w:sz w:val="18"/>
                <w:szCs w:val="18"/>
              </w:rPr>
              <w:t>Изпълнителен директор на АГКК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на </w:t>
            </w:r>
            <w:r w:rsidRPr="001B4A93">
              <w:rPr>
                <w:rFonts w:ascii="Times New Roman" w:hAnsi="Times New Roman" w:cs="Times New Roman"/>
                <w:sz w:val="18"/>
                <w:szCs w:val="18"/>
              </w:rPr>
              <w:t>дирекция “</w:t>
            </w:r>
            <w:proofErr w:type="spellStart"/>
            <w:r w:rsidRPr="001B4A93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B4A93">
              <w:rPr>
                <w:rFonts w:ascii="Times New Roman" w:hAnsi="Times New Roman" w:cs="Times New Roman"/>
                <w:sz w:val="18"/>
                <w:szCs w:val="18"/>
              </w:rPr>
              <w:t>тивно</w:t>
            </w:r>
            <w:proofErr w:type="spellEnd"/>
            <w:r w:rsidRPr="001B4A93">
              <w:rPr>
                <w:rFonts w:ascii="Times New Roman" w:hAnsi="Times New Roman" w:cs="Times New Roman"/>
                <w:sz w:val="18"/>
                <w:szCs w:val="18"/>
              </w:rPr>
              <w:t>-правно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финансово </w:t>
            </w:r>
            <w:r w:rsidRPr="001B4A93">
              <w:rPr>
                <w:rFonts w:ascii="Times New Roman" w:hAnsi="Times New Roman" w:cs="Times New Roman"/>
                <w:sz w:val="18"/>
                <w:szCs w:val="18"/>
              </w:rPr>
              <w:t>обслужване” (АП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1B4A93">
              <w:rPr>
                <w:rFonts w:ascii="Times New Roman" w:hAnsi="Times New Roman" w:cs="Times New Roman"/>
                <w:sz w:val="18"/>
                <w:szCs w:val="18"/>
              </w:rPr>
              <w:t>О)</w:t>
            </w:r>
          </w:p>
        </w:tc>
        <w:tc>
          <w:tcPr>
            <w:tcW w:w="1976" w:type="dxa"/>
          </w:tcPr>
          <w:p w:rsidR="00D91B70" w:rsidRPr="00683EE5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15400" w:type="dxa"/>
            <w:gridSpan w:val="12"/>
            <w:shd w:val="clear" w:color="auto" w:fill="92D050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Други мерки с оглед специфичните рискове в съответните ведомства</w:t>
            </w:r>
          </w:p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D91B70" w:rsidRPr="00EB2358" w:rsidTr="007208CE">
        <w:tc>
          <w:tcPr>
            <w:tcW w:w="3227" w:type="dxa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1701" w:type="dxa"/>
            <w:gridSpan w:val="2"/>
            <w:shd w:val="clear" w:color="auto" w:fill="FFFFCC"/>
          </w:tcPr>
          <w:p w:rsidR="00D91B70" w:rsidRPr="00EB2358" w:rsidRDefault="00D91B70" w:rsidP="00D91B70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984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Крайна цел на мярката</w:t>
            </w:r>
          </w:p>
        </w:tc>
        <w:tc>
          <w:tcPr>
            <w:tcW w:w="1276" w:type="dxa"/>
            <w:shd w:val="clear" w:color="auto" w:fill="FFFFCC"/>
          </w:tcPr>
          <w:p w:rsidR="00D91B70" w:rsidRPr="00E97D41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97D41">
              <w:rPr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42" w:type="dxa"/>
            <w:gridSpan w:val="2"/>
            <w:shd w:val="clear" w:color="auto" w:fill="FFFFCC"/>
          </w:tcPr>
          <w:p w:rsidR="00D91B70" w:rsidRPr="00E97D41" w:rsidRDefault="00D91B70" w:rsidP="00D91B70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E97D41">
              <w:rPr>
                <w:sz w:val="20"/>
                <w:szCs w:val="20"/>
              </w:rPr>
              <w:t>Индикатор</w:t>
            </w:r>
          </w:p>
        </w:tc>
        <w:tc>
          <w:tcPr>
            <w:tcW w:w="1418" w:type="dxa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Отговорно</w:t>
            </w:r>
          </w:p>
          <w:p w:rsidR="00D91B70" w:rsidRPr="00EB2358" w:rsidRDefault="00D91B70" w:rsidP="00D91B70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0"/>
                <w:szCs w:val="20"/>
              </w:rPr>
            </w:pPr>
            <w:r w:rsidRPr="00EB2358">
              <w:rPr>
                <w:sz w:val="20"/>
                <w:szCs w:val="20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D91B70" w:rsidRPr="00025A55" w:rsidRDefault="00D91B70" w:rsidP="00D91B70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D91B70" w:rsidRPr="00EB2358" w:rsidRDefault="00D91B70" w:rsidP="00D91B70">
            <w:pPr>
              <w:pStyle w:val="20"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012458">
              <w:rPr>
                <w:rFonts w:eastAsiaTheme="minorHAnsi"/>
                <w:sz w:val="20"/>
                <w:szCs w:val="20"/>
              </w:rPr>
              <w:t xml:space="preserve">Неизпълнение и </w:t>
            </w:r>
            <w:r w:rsidRPr="00012458">
              <w:rPr>
                <w:sz w:val="20"/>
                <w:szCs w:val="20"/>
              </w:rPr>
              <w:t>причини</w:t>
            </w:r>
            <w:r w:rsidRPr="00EB2358">
              <w:rPr>
                <w:sz w:val="20"/>
                <w:szCs w:val="20"/>
              </w:rPr>
              <w:t xml:space="preserve"> при неизпълнение</w:t>
            </w:r>
          </w:p>
        </w:tc>
      </w:tr>
      <w:tr w:rsidR="00D91B70" w:rsidRPr="00EB2358" w:rsidTr="005A0481">
        <w:tc>
          <w:tcPr>
            <w:tcW w:w="3227" w:type="dxa"/>
            <w:shd w:val="clear" w:color="auto" w:fill="auto"/>
          </w:tcPr>
          <w:p w:rsidR="00D91B70" w:rsidRPr="00D61244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244">
              <w:rPr>
                <w:rFonts w:ascii="Times New Roman" w:hAnsi="Times New Roman" w:cs="Times New Roman"/>
                <w:sz w:val="18"/>
                <w:szCs w:val="18"/>
              </w:rPr>
              <w:t>Служителите в ГД СППРР, извършващи администриране на сигнали за нередности, са защитени при изпълнение на служебните си задължения, и имената им не се оповестяват на бенефициента, както и не осъществяват преки контакти с бенефициенти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91B70" w:rsidRPr="00C03827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D91B70" w:rsidRPr="00C03827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Ограничаване на преките контакти с бенефициенти и защита на служителите</w:t>
            </w:r>
          </w:p>
        </w:tc>
        <w:tc>
          <w:tcPr>
            <w:tcW w:w="1276" w:type="dxa"/>
            <w:shd w:val="clear" w:color="auto" w:fill="auto"/>
          </w:tcPr>
          <w:p w:rsidR="00D91B70" w:rsidRPr="00C03827" w:rsidRDefault="00D91B70" w:rsidP="00D91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Постоянен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91B70" w:rsidRPr="00C03827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Намаляване на възможни нарушения в процеса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администриране на сигнали за нередности</w:t>
            </w:r>
          </w:p>
        </w:tc>
        <w:tc>
          <w:tcPr>
            <w:tcW w:w="1418" w:type="dxa"/>
            <w:shd w:val="clear" w:color="auto" w:fill="auto"/>
          </w:tcPr>
          <w:p w:rsidR="00D91B70" w:rsidRPr="00A30AC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1244">
              <w:rPr>
                <w:rFonts w:ascii="Times New Roman" w:hAnsi="Times New Roman" w:cs="Times New Roman"/>
                <w:sz w:val="18"/>
                <w:szCs w:val="18"/>
              </w:rPr>
              <w:t xml:space="preserve">Главен директор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D61244">
              <w:rPr>
                <w:rFonts w:ascii="Times New Roman" w:hAnsi="Times New Roman" w:cs="Times New Roman"/>
                <w:sz w:val="18"/>
                <w:szCs w:val="18"/>
              </w:rPr>
              <w:t>ГД „СППРР" в МРРБ</w:t>
            </w:r>
          </w:p>
        </w:tc>
        <w:tc>
          <w:tcPr>
            <w:tcW w:w="1976" w:type="dxa"/>
          </w:tcPr>
          <w:p w:rsidR="00D91B70" w:rsidRPr="00A30AC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</w:t>
            </w:r>
          </w:p>
        </w:tc>
      </w:tr>
      <w:tr w:rsidR="00D91B70" w:rsidRPr="00EB2358" w:rsidTr="005A0481">
        <w:tc>
          <w:tcPr>
            <w:tcW w:w="3227" w:type="dxa"/>
            <w:shd w:val="clear" w:color="auto" w:fill="auto"/>
          </w:tcPr>
          <w:p w:rsidR="00D91B70" w:rsidRPr="00C03827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 xml:space="preserve">Прилагане на нови контролни листове за проверка на законосъобразното възлагане на обществената поръчка и сключения договор с изпълнител, като са въведени допълнителни контроли при извършване на предварителен контрол преди верификация, за всички обществени поръчки, в раздел „Проверка в системата „АРАХНЕ“.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91B70" w:rsidRPr="00C03827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D91B70" w:rsidRPr="00C03827" w:rsidRDefault="00D91B70" w:rsidP="00D91B70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Превенция на риска от корупция при процеса на проверка на законосъобразното възлагане на обществената поръчка и сключения договор с изпълнител</w:t>
            </w:r>
          </w:p>
        </w:tc>
        <w:tc>
          <w:tcPr>
            <w:tcW w:w="1276" w:type="dxa"/>
            <w:shd w:val="clear" w:color="auto" w:fill="auto"/>
          </w:tcPr>
          <w:p w:rsidR="00D91B70" w:rsidRPr="00C03827" w:rsidRDefault="00D91B70" w:rsidP="00D91B70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Срок за верифициране на средства: 31.12.2023 г.</w:t>
            </w:r>
          </w:p>
          <w:p w:rsidR="00D91B70" w:rsidRPr="00C03827" w:rsidRDefault="00D91B70" w:rsidP="00D91B70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Етапи: всяка година до 2023 г. (вкл.)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91B70" w:rsidRPr="00C03827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Намаляване на възможни нарушения в процеса на законосъобразното възлагане на обществената поръчка и сключения договор с изпълнител (брой нарушения)</w:t>
            </w:r>
          </w:p>
        </w:tc>
        <w:tc>
          <w:tcPr>
            <w:tcW w:w="1418" w:type="dxa"/>
            <w:shd w:val="clear" w:color="auto" w:fill="auto"/>
          </w:tcPr>
          <w:p w:rsidR="00D91B70" w:rsidRPr="00A30AC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Главен директор 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>и началници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683EE5">
              <w:rPr>
                <w:rFonts w:ascii="Times New Roman" w:hAnsi="Times New Roman" w:cs="Times New Roman"/>
                <w:sz w:val="18"/>
                <w:szCs w:val="18"/>
              </w:rPr>
              <w:t xml:space="preserve"> отдели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6641E">
              <w:rPr>
                <w:rFonts w:ascii="Times New Roman" w:hAnsi="Times New Roman" w:cs="Times New Roman"/>
                <w:sz w:val="18"/>
                <w:szCs w:val="18"/>
              </w:rPr>
              <w:t>ГД „СППРР"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МРРБ</w:t>
            </w:r>
          </w:p>
        </w:tc>
        <w:tc>
          <w:tcPr>
            <w:tcW w:w="1976" w:type="dxa"/>
          </w:tcPr>
          <w:p w:rsidR="00D91B70" w:rsidRPr="00A30AC0" w:rsidRDefault="00D91B70" w:rsidP="00D91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D91B70" w:rsidRPr="00EB2358" w:rsidRDefault="00D91B70" w:rsidP="00D91B70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5A0481">
        <w:tc>
          <w:tcPr>
            <w:tcW w:w="3227" w:type="dxa"/>
            <w:shd w:val="clear" w:color="auto" w:fill="auto"/>
          </w:tcPr>
          <w:p w:rsidR="00B34831" w:rsidRPr="00C03827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Аутсорсване на процеса по верификация, когато бенефициент е УО на ОПРР за осъществяване на дейности по проверка и изготвяне на предложения за верификация на разходи по бюджетни линии по Приоритетна ос "Техническа помощ" на ОПРР 2014-2020 с бенефициент ГД СППРР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4831" w:rsidRPr="00C03827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B34831" w:rsidRPr="00C03827" w:rsidRDefault="00B34831" w:rsidP="00B3483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Извършване на независима проверка на искания за плащане  по бюджетните линии, когато  бенефициент е УО на ОПРР</w:t>
            </w:r>
          </w:p>
        </w:tc>
        <w:tc>
          <w:tcPr>
            <w:tcW w:w="1276" w:type="dxa"/>
            <w:shd w:val="clear" w:color="auto" w:fill="auto"/>
          </w:tcPr>
          <w:p w:rsidR="00B34831" w:rsidRPr="00C03827" w:rsidRDefault="00B34831" w:rsidP="00B3483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Срок за верифициране на средства: 31.12.2023 г.</w:t>
            </w:r>
          </w:p>
          <w:p w:rsidR="00B34831" w:rsidRPr="00C03827" w:rsidRDefault="00B34831" w:rsidP="00B34831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Етапи: всяка година до 2023 г. (вкл.)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34831" w:rsidRPr="00C03827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827">
              <w:rPr>
                <w:rFonts w:ascii="Times New Roman" w:hAnsi="Times New Roman" w:cs="Times New Roman"/>
                <w:sz w:val="18"/>
                <w:szCs w:val="18"/>
              </w:rPr>
              <w:t>Намаляване на възможни нарушения в процеса на верификация на средствата по бюджетни линии с бенефициент УО на ОПРР по Приоритетна ос "Техническа помощ" на ОПРР 2014-2020 (брой нарушения)</w:t>
            </w:r>
          </w:p>
        </w:tc>
        <w:tc>
          <w:tcPr>
            <w:tcW w:w="1418" w:type="dxa"/>
            <w:shd w:val="clear" w:color="auto" w:fill="auto"/>
          </w:tcPr>
          <w:p w:rsidR="00B34831" w:rsidRPr="00A30AC0" w:rsidRDefault="00B34831" w:rsidP="00B3483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136B3">
              <w:rPr>
                <w:rFonts w:ascii="Times New Roman" w:hAnsi="Times New Roman" w:cs="Times New Roman"/>
                <w:sz w:val="18"/>
                <w:szCs w:val="18"/>
              </w:rPr>
              <w:t>Началници на отдели - ползватели на бюджетните линии на УО по Приоритетна ос "Техническа помощ" в ГД „СППРР" в МРРБ</w:t>
            </w:r>
          </w:p>
        </w:tc>
        <w:tc>
          <w:tcPr>
            <w:tcW w:w="1976" w:type="dxa"/>
          </w:tcPr>
          <w:p w:rsidR="00B34831" w:rsidRPr="00A30AC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3227" w:type="dxa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Упражняване на контрол върху актуалността на Регистрите на доставчиците на е-услуги за електронно събиране на такси за изминато разстояние и вътрешната нормати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вна база създадена в практиката</w:t>
            </w:r>
          </w:p>
        </w:tc>
        <w:tc>
          <w:tcPr>
            <w:tcW w:w="1701" w:type="dxa"/>
            <w:gridSpan w:val="2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</w:tcPr>
          <w:p w:rsidR="00B34831" w:rsidRPr="00F51233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Превенция на риска от неточна и подвеждаща 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всички доставчици, които имат действащи договори във връзка с прилагане на смесена система за таксуване на различните категории ППС и такси на база изминато разстояние</w:t>
            </w:r>
          </w:p>
        </w:tc>
        <w:tc>
          <w:tcPr>
            <w:tcW w:w="1276" w:type="dxa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Постоянен </w:t>
            </w:r>
          </w:p>
        </w:tc>
        <w:tc>
          <w:tcPr>
            <w:tcW w:w="1842" w:type="dxa"/>
            <w:gridSpan w:val="2"/>
          </w:tcPr>
          <w:p w:rsidR="00B34831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Актуален регистър на национални доставчици на услуги за електронно събиране на пътни такси; </w:t>
            </w:r>
          </w:p>
          <w:p w:rsidR="00B34831" w:rsidRPr="00F51233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Постъпили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сигнали по отношение на 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качеството на предлаганата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418" w:type="dxa"/>
          </w:tcPr>
          <w:p w:rsidR="00B34831" w:rsidRPr="00F51233" w:rsidRDefault="00B34831" w:rsidP="00B34831">
            <w:pPr>
              <w:ind w:left="-107"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Директор на специализирано 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но Национално </w:t>
            </w:r>
            <w:proofErr w:type="spellStart"/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тол</w:t>
            </w:r>
            <w:proofErr w:type="spellEnd"/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34831" w:rsidRPr="00F51233" w:rsidRDefault="00B34831" w:rsidP="00B34831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Директор на дирекция 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АРОК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A22897">
        <w:tc>
          <w:tcPr>
            <w:tcW w:w="3227" w:type="dxa"/>
            <w:shd w:val="clear" w:color="auto" w:fill="auto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Изготвяне на Инструкция, с която да се регламентира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 механиз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м за взаимодействие и отчетност между АПИ и  външните институции /МВР,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Агенция „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Митници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 и др./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които са 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пряко свързани с прилагане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</w:t>
            </w:r>
            <w:proofErr w:type="spellEnd"/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-системата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B34831" w:rsidRPr="00F51233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Предпазване от съз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даване на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ханизъм за корупционни практики</w:t>
            </w:r>
          </w:p>
        </w:tc>
        <w:tc>
          <w:tcPr>
            <w:tcW w:w="1276" w:type="dxa"/>
            <w:shd w:val="clear" w:color="auto" w:fill="auto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31.12.2020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Изготвена Инструкция </w:t>
            </w:r>
          </w:p>
        </w:tc>
        <w:tc>
          <w:tcPr>
            <w:tcW w:w="1418" w:type="dxa"/>
            <w:shd w:val="clear" w:color="auto" w:fill="auto"/>
          </w:tcPr>
          <w:p w:rsidR="00B34831" w:rsidRPr="00F51233" w:rsidRDefault="00B34831" w:rsidP="00B34831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 на УС на АПИ;</w:t>
            </w:r>
          </w:p>
          <w:p w:rsidR="00B34831" w:rsidRPr="00F51233" w:rsidRDefault="00B34831" w:rsidP="00B34831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>Директор на специализирано 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1233"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Национално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</w:t>
            </w:r>
          </w:p>
        </w:tc>
        <w:tc>
          <w:tcPr>
            <w:tcW w:w="1976" w:type="dxa"/>
          </w:tcPr>
          <w:p w:rsidR="00B34831" w:rsidRPr="00F51233" w:rsidRDefault="00B34831" w:rsidP="00B348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gridSpan w:val="3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15400" w:type="dxa"/>
            <w:gridSpan w:val="12"/>
            <w:shd w:val="clear" w:color="auto" w:fill="92D050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Мерки за публичност</w:t>
            </w:r>
          </w:p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Описание на мярката</w:t>
            </w:r>
          </w:p>
        </w:tc>
        <w:tc>
          <w:tcPr>
            <w:tcW w:w="3656" w:type="dxa"/>
            <w:gridSpan w:val="3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Срок за изпълнение и етапи</w:t>
            </w:r>
          </w:p>
        </w:tc>
        <w:tc>
          <w:tcPr>
            <w:tcW w:w="3260" w:type="dxa"/>
            <w:gridSpan w:val="3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Отговорно</w:t>
            </w:r>
          </w:p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лице</w:t>
            </w:r>
          </w:p>
        </w:tc>
        <w:tc>
          <w:tcPr>
            <w:tcW w:w="1976" w:type="dxa"/>
            <w:shd w:val="clear" w:color="auto" w:fill="FFFFCC"/>
          </w:tcPr>
          <w:p w:rsidR="00B34831" w:rsidRPr="00025A55" w:rsidRDefault="00B34831" w:rsidP="00B34831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Изпълнение</w:t>
            </w:r>
          </w:p>
        </w:tc>
        <w:tc>
          <w:tcPr>
            <w:tcW w:w="1976" w:type="dxa"/>
            <w:gridSpan w:val="3"/>
            <w:shd w:val="clear" w:color="auto" w:fill="FFFFCC"/>
          </w:tcPr>
          <w:p w:rsidR="00B34831" w:rsidRPr="000124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012458">
              <w:rPr>
                <w:rFonts w:ascii="Times New Roman" w:hAnsi="Times New Roman" w:cs="Times New Roman"/>
                <w:sz w:val="20"/>
                <w:szCs w:val="20"/>
              </w:rPr>
              <w:t>Неизпълнение и причини при неизпълнение</w:t>
            </w: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6228EB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EB">
              <w:rPr>
                <w:rFonts w:ascii="Times New Roman" w:hAnsi="Times New Roman" w:cs="Times New Roman"/>
                <w:sz w:val="18"/>
                <w:szCs w:val="18"/>
              </w:rPr>
              <w:t>Редовно актуализиране на раздел „Антикорупция“ на интернет страницата на МРРБ, съдържащ всички приложими и разработени във ведомството актове с антикорупционна насоченост, антикорупционни планове и отчети за тяхното изпълнение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публичен регистър </w:t>
            </w:r>
            <w:r w:rsidRPr="00220F42">
              <w:rPr>
                <w:rFonts w:ascii="Times New Roman" w:hAnsi="Times New Roman" w:cs="Times New Roman"/>
                <w:sz w:val="18"/>
                <w:szCs w:val="18"/>
              </w:rPr>
              <w:t>по §2, ал. 3 от Допълнителните разпоредби на ЗПКОНПИ и чл. 4, ал. 2 от НОРИПДУКИ</w:t>
            </w:r>
          </w:p>
        </w:tc>
        <w:tc>
          <w:tcPr>
            <w:tcW w:w="3656" w:type="dxa"/>
            <w:gridSpan w:val="3"/>
          </w:tcPr>
          <w:p w:rsidR="00B34831" w:rsidRPr="006228EB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6228EB">
              <w:rPr>
                <w:sz w:val="18"/>
                <w:szCs w:val="18"/>
              </w:rPr>
              <w:t>Постоянен</w:t>
            </w:r>
          </w:p>
        </w:tc>
        <w:tc>
          <w:tcPr>
            <w:tcW w:w="3260" w:type="dxa"/>
            <w:gridSpan w:val="3"/>
          </w:tcPr>
          <w:p w:rsidR="00B34831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8EB">
              <w:rPr>
                <w:rFonts w:ascii="Times New Roman" w:hAnsi="Times New Roman" w:cs="Times New Roman"/>
                <w:sz w:val="18"/>
                <w:szCs w:val="18"/>
              </w:rPr>
              <w:t>Ръководител Инспекторат на МРРБ</w:t>
            </w:r>
          </w:p>
          <w:p w:rsidR="00246CC0" w:rsidRPr="006228EB" w:rsidRDefault="00246CC0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на дирекция „</w:t>
            </w:r>
            <w:r w:rsidRPr="00246CC0">
              <w:rPr>
                <w:rFonts w:ascii="Times New Roman" w:hAnsi="Times New Roman" w:cs="Times New Roman"/>
                <w:sz w:val="18"/>
                <w:szCs w:val="18"/>
              </w:rPr>
              <w:t>Връзки с обществеността, протокол и международно сътрудничество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 в МРРБ</w:t>
            </w:r>
          </w:p>
          <w:p w:rsidR="00B34831" w:rsidRPr="006228EB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Публикуване на резултатите от работата на оценителните комисии след одобрението им от Съвместния комитет за наблюдение по програмата (СКН)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8978D9">
              <w:rPr>
                <w:sz w:val="18"/>
                <w:szCs w:val="18"/>
              </w:rPr>
              <w:t>След одобрение от СКН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 xml:space="preserve">Експертите „Комуникация и връзки с обществеността“ (КВО) към Съвместните секретариати; </w:t>
            </w:r>
          </w:p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 xml:space="preserve">Отдел „Програми ИНТЕРРЕГ-ИПП </w:t>
            </w:r>
            <w:r w:rsidRPr="008978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Трансгранично сътрудничество“ към дирекция „УТС“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Публикуване на указания за бенефициенти, инструкции за работа на интернет страниците на програмите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8978D9">
              <w:rPr>
                <w:sz w:val="18"/>
                <w:szCs w:val="18"/>
              </w:rPr>
              <w:t>Преди сключване на договори за субсидия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 xml:space="preserve">Експертите „КВО“ към Съвместните секретариати; </w:t>
            </w:r>
          </w:p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Отдел „Програми ИНТЕРРЕГ-ИПП Трансгранично сътрудничество“ към дирекция „УТС“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bidi="bg-BG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>Актуализиране на информацията за изпълнението на програмата, включително нейните основни постижения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8978D9">
              <w:rPr>
                <w:sz w:val="18"/>
                <w:szCs w:val="18"/>
              </w:rPr>
              <w:t>Текущо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Експертите „КВО“ към Съвместните секретариати;</w:t>
            </w:r>
          </w:p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Отдел "Организационно развитие и публичност" към дирекция „УТС“;</w:t>
            </w:r>
          </w:p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Отдел „Оценка, информация и публичност“ към ГД „СППРР“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bidi="bg-BG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Повишаване на осведомеността на лицата участващи в изпълнението и контрола по проекти финансирани със средства от ЕС по отношение на възможностите и начините за подаване на сигнали за нередности, измама и корупция  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8978D9">
              <w:rPr>
                <w:sz w:val="18"/>
                <w:szCs w:val="18"/>
              </w:rPr>
              <w:t>Текущо изпълнение - при организиране на информационни дни за бенефициерите по програмите, при организиране на обучение за повишаване на квалификацията на лицата осъществяващи първо ниво на контрол по проектите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сички отдели в дирекция „УТС“,</w:t>
            </w:r>
          </w:p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сички отдели в ГД „СППРР“</w:t>
            </w:r>
          </w:p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bidi="bg-BG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Обучения на бенефициентите по ОПРР- информационни дни по програмата, на  които се предоставя информация на потенциалните бенефициенти за понятието нередност и измама 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8978D9">
              <w:rPr>
                <w:sz w:val="18"/>
                <w:szCs w:val="18"/>
              </w:rPr>
              <w:t xml:space="preserve">Текущо - при организиране на информационни дни за бенефициентите 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Сектор „Договаряне“ и отдел „Оценка, информация и публичност“ към ГД „СППРР“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bidi="bg-BG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>Регулярно публикуване на информация за практиката на УО на ОПРР по отношение на установените нередности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8978D9">
              <w:rPr>
                <w:sz w:val="18"/>
                <w:szCs w:val="18"/>
              </w:rPr>
              <w:t>екущо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Началник на отдел „Контрол на обществените поръчки и нередности“ (КОПН) и на отдел „Оценка, информация и публичност“ (ОИП) към ГД „СППРР“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bidi="bg-BG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>Публикуване на указания към бенефициентите за най-често допусканите нарушения при процедури по възлагане на обществени поръчки</w:t>
            </w:r>
          </w:p>
        </w:tc>
        <w:tc>
          <w:tcPr>
            <w:tcW w:w="3656" w:type="dxa"/>
            <w:gridSpan w:val="3"/>
          </w:tcPr>
          <w:p w:rsidR="00B34831" w:rsidRPr="008978D9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8978D9">
              <w:rPr>
                <w:sz w:val="18"/>
                <w:szCs w:val="18"/>
              </w:rPr>
              <w:t>екущо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Началник на отдел „КОПН“ и на отдел „ОИП“ към ГД „СППРР“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FF4BAE">
        <w:tc>
          <w:tcPr>
            <w:tcW w:w="4532" w:type="dxa"/>
            <w:gridSpan w:val="2"/>
            <w:shd w:val="clear" w:color="auto" w:fill="FFFFFF" w:themeFill="background1"/>
          </w:tcPr>
          <w:p w:rsidR="00B34831" w:rsidRPr="00523CD2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CD2">
              <w:rPr>
                <w:rFonts w:ascii="Times New Roman" w:hAnsi="Times New Roman" w:cs="Times New Roman"/>
                <w:sz w:val="18"/>
                <w:szCs w:val="18"/>
              </w:rPr>
              <w:t xml:space="preserve">Публикуване на страниците на програмите за трансгранично сътрудничество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 за предприсъединителна помощ (</w:t>
            </w:r>
            <w:r w:rsidRPr="00523CD2">
              <w:rPr>
                <w:rFonts w:ascii="Times New Roman" w:hAnsi="Times New Roman" w:cs="Times New Roman"/>
                <w:sz w:val="18"/>
                <w:szCs w:val="18"/>
              </w:rPr>
              <w:t>ИПП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23CD2">
              <w:rPr>
                <w:rFonts w:ascii="Times New Roman" w:hAnsi="Times New Roman" w:cs="Times New Roman"/>
                <w:sz w:val="18"/>
                <w:szCs w:val="18"/>
              </w:rPr>
              <w:t xml:space="preserve"> на досиетата за обществени поръчки провеждани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Pr="00523CD2">
              <w:rPr>
                <w:rFonts w:ascii="Times New Roman" w:hAnsi="Times New Roman" w:cs="Times New Roman"/>
                <w:sz w:val="18"/>
                <w:szCs w:val="18"/>
              </w:rPr>
              <w:t xml:space="preserve"> бенефициенти по програмите</w:t>
            </w:r>
          </w:p>
        </w:tc>
        <w:tc>
          <w:tcPr>
            <w:tcW w:w="3656" w:type="dxa"/>
            <w:gridSpan w:val="3"/>
            <w:shd w:val="clear" w:color="auto" w:fill="FFFFFF" w:themeFill="background1"/>
          </w:tcPr>
          <w:p w:rsidR="00B34831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8978D9">
              <w:rPr>
                <w:sz w:val="18"/>
                <w:szCs w:val="18"/>
              </w:rPr>
              <w:t>екущо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34831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на дирекция 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 в МРРБ;</w:t>
            </w:r>
          </w:p>
          <w:p w:rsidR="00B34831" w:rsidRPr="00523CD2" w:rsidRDefault="00B34831" w:rsidP="00B3483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Експерти</w:t>
            </w:r>
            <w:r w:rsidRPr="00523CD2">
              <w:rPr>
                <w:rFonts w:ascii="Times New Roman" w:hAnsi="Times New Roman" w:cs="Times New Roman"/>
                <w:sz w:val="18"/>
                <w:szCs w:val="18"/>
              </w:rPr>
              <w:t xml:space="preserve"> „Комуникация и връзки с обществеността“ към Съвместните секретариати по програмите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FF4BAE">
        <w:tc>
          <w:tcPr>
            <w:tcW w:w="4532" w:type="dxa"/>
            <w:gridSpan w:val="2"/>
            <w:shd w:val="clear" w:color="auto" w:fill="FFFFFF" w:themeFill="background1"/>
          </w:tcPr>
          <w:p w:rsidR="00B34831" w:rsidRPr="00A72A9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99">
              <w:rPr>
                <w:rFonts w:ascii="Times New Roman" w:hAnsi="Times New Roman" w:cs="Times New Roman"/>
                <w:sz w:val="18"/>
                <w:szCs w:val="18"/>
              </w:rPr>
              <w:t xml:space="preserve">Публикуване на страницата на Единния информационен портал на процедури за избор на изпълнител, провеждани по реда на глава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ІV</w:t>
            </w:r>
            <w:r w:rsidRPr="00A72A99">
              <w:rPr>
                <w:rFonts w:ascii="Times New Roman" w:hAnsi="Times New Roman" w:cs="Times New Roman"/>
                <w:sz w:val="18"/>
                <w:szCs w:val="18"/>
              </w:rPr>
              <w:t xml:space="preserve"> от ЗУСЕСИФ и ПМС № 160/2016 г. от неправителствени организации</w:t>
            </w:r>
            <w:r w:rsidRPr="00A72A99">
              <w:rPr>
                <w:sz w:val="18"/>
                <w:szCs w:val="18"/>
              </w:rPr>
              <w:t xml:space="preserve"> </w:t>
            </w:r>
            <w:r w:rsidRPr="00A72A99">
              <w:rPr>
                <w:rFonts w:ascii="Times New Roman" w:hAnsi="Times New Roman" w:cs="Times New Roman"/>
                <w:sz w:val="18"/>
                <w:szCs w:val="18"/>
              </w:rPr>
              <w:t>бенефициенти по програмите за трансгранично сътрудничество, финансирани със средства от Европейския фонд за регионално развитие</w:t>
            </w:r>
          </w:p>
        </w:tc>
        <w:tc>
          <w:tcPr>
            <w:tcW w:w="3656" w:type="dxa"/>
            <w:gridSpan w:val="3"/>
            <w:shd w:val="clear" w:color="auto" w:fill="FFFFFF" w:themeFill="background1"/>
          </w:tcPr>
          <w:p w:rsidR="00B34831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8978D9">
              <w:rPr>
                <w:sz w:val="18"/>
                <w:szCs w:val="18"/>
              </w:rPr>
              <w:t>екущо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34831" w:rsidRPr="00A72A9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99">
              <w:rPr>
                <w:rFonts w:ascii="Times New Roman" w:hAnsi="Times New Roman" w:cs="Times New Roman"/>
                <w:sz w:val="18"/>
                <w:szCs w:val="18"/>
              </w:rPr>
              <w:t>Директор на дирекция „УТС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A72A99">
              <w:rPr>
                <w:rFonts w:ascii="Times New Roman" w:hAnsi="Times New Roman" w:cs="Times New Roman"/>
                <w:sz w:val="18"/>
                <w:szCs w:val="18"/>
              </w:rPr>
              <w:t xml:space="preserve"> в МРРБ;</w:t>
            </w:r>
          </w:p>
          <w:p w:rsidR="00B34831" w:rsidRPr="00A72A9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A99">
              <w:rPr>
                <w:rFonts w:ascii="Times New Roman" w:hAnsi="Times New Roman" w:cs="Times New Roman"/>
                <w:sz w:val="18"/>
                <w:szCs w:val="18"/>
              </w:rPr>
              <w:t xml:space="preserve">Експерти в отдел „Програми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ИНТЕРРЕГ“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FF4BAE">
        <w:tc>
          <w:tcPr>
            <w:tcW w:w="4532" w:type="dxa"/>
            <w:gridSpan w:val="2"/>
            <w:shd w:val="clear" w:color="auto" w:fill="FFFFFF" w:themeFill="background1"/>
          </w:tcPr>
          <w:p w:rsidR="00B34831" w:rsidRPr="009E7A2C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A2C">
              <w:rPr>
                <w:rFonts w:ascii="Times New Roman" w:hAnsi="Times New Roman" w:cs="Times New Roman"/>
                <w:sz w:val="18"/>
                <w:szCs w:val="18"/>
              </w:rPr>
              <w:t>Публикуване на страниците на програмите за трансгранично сътрудничество по ИПП на решения на Съвместните комитети за наблюдение, класирания на кандидатите за отпускане на безвъзмездна финансова помощ, годишните доклади за изпълнени</w:t>
            </w:r>
            <w:r w:rsidR="0096558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E7A2C">
              <w:rPr>
                <w:rFonts w:ascii="Times New Roman" w:hAnsi="Times New Roman" w:cs="Times New Roman"/>
                <w:sz w:val="18"/>
                <w:szCs w:val="18"/>
              </w:rPr>
              <w:t xml:space="preserve"> на програмите и др.</w:t>
            </w:r>
          </w:p>
        </w:tc>
        <w:tc>
          <w:tcPr>
            <w:tcW w:w="3656" w:type="dxa"/>
            <w:gridSpan w:val="3"/>
            <w:shd w:val="clear" w:color="auto" w:fill="FFFFFF" w:themeFill="background1"/>
          </w:tcPr>
          <w:p w:rsidR="00B34831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8978D9">
              <w:rPr>
                <w:sz w:val="18"/>
                <w:szCs w:val="18"/>
              </w:rPr>
              <w:t>екущо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B34831" w:rsidRPr="009E7A2C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A2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на дирекция </w:t>
            </w:r>
          </w:p>
          <w:p w:rsidR="00B34831" w:rsidRPr="009E7A2C" w:rsidRDefault="00B34831" w:rsidP="00B3483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E7A2C">
              <w:rPr>
                <w:rFonts w:ascii="Times New Roman" w:hAnsi="Times New Roman" w:cs="Times New Roman"/>
                <w:sz w:val="18"/>
                <w:szCs w:val="18"/>
              </w:rPr>
              <w:t>„УТС“ в МРРБ;</w:t>
            </w:r>
          </w:p>
          <w:p w:rsidR="00B34831" w:rsidRPr="009E7A2C" w:rsidRDefault="00B34831" w:rsidP="00B3483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E7A2C">
              <w:rPr>
                <w:rFonts w:ascii="Times New Roman" w:hAnsi="Times New Roman" w:cs="Times New Roman"/>
                <w:sz w:val="18"/>
                <w:szCs w:val="18"/>
              </w:rPr>
              <w:t>Началник на отдел „Програми ИНТЕРРЕГ-ИПП Трансгранично сътрудничество“ в дирекция „УТС“;</w:t>
            </w:r>
          </w:p>
          <w:p w:rsidR="00B34831" w:rsidRPr="009E7A2C" w:rsidRDefault="00B34831" w:rsidP="00B3483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E7A2C">
              <w:rPr>
                <w:rFonts w:ascii="Times New Roman" w:hAnsi="Times New Roman" w:cs="Times New Roman"/>
                <w:sz w:val="18"/>
                <w:szCs w:val="18"/>
              </w:rPr>
              <w:t>Началник отдел "Организацион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и публичност"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B472E6">
        <w:tc>
          <w:tcPr>
            <w:tcW w:w="4532" w:type="dxa"/>
            <w:gridSpan w:val="2"/>
            <w:shd w:val="clear" w:color="auto" w:fill="auto"/>
          </w:tcPr>
          <w:p w:rsidR="00B34831" w:rsidRPr="00C03827" w:rsidRDefault="00B34831" w:rsidP="00176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Осигуряване на пълна прозрачност и проследимост по разработването на проекти на нормативни актове</w:t>
            </w:r>
            <w:r w:rsidR="0017649D">
              <w:rPr>
                <w:rFonts w:ascii="Times New Roman" w:hAnsi="Times New Roman" w:cs="Times New Roman"/>
                <w:sz w:val="18"/>
                <w:szCs w:val="18"/>
              </w:rPr>
              <w:t xml:space="preserve"> от страна на дирекция „</w:t>
            </w:r>
            <w:r w:rsidR="00F727F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7649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727F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7649D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чрез включване на представ</w:t>
            </w:r>
            <w:r w:rsidR="0096558B">
              <w:rPr>
                <w:rFonts w:ascii="Times New Roman" w:hAnsi="Times New Roman" w:cs="Times New Roman"/>
                <w:sz w:val="18"/>
                <w:szCs w:val="18"/>
              </w:rPr>
              <w:t>ители на всички заинтересовани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страни в работните групи и</w:t>
            </w:r>
            <w:r w:rsidR="0017649D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съгласуване</w:t>
            </w:r>
            <w:r w:rsidR="0017649D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изготвените проекти</w:t>
            </w:r>
          </w:p>
        </w:tc>
        <w:tc>
          <w:tcPr>
            <w:tcW w:w="3656" w:type="dxa"/>
            <w:gridSpan w:val="3"/>
            <w:shd w:val="clear" w:color="auto" w:fill="FFFFFF" w:themeFill="background1"/>
          </w:tcPr>
          <w:p w:rsidR="00B34831" w:rsidRDefault="007058A7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Постоянен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7058A7" w:rsidRDefault="007058A7" w:rsidP="007058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на дирекция „ТПН“ в МРРБ;</w:t>
            </w:r>
          </w:p>
          <w:p w:rsidR="00B34831" w:rsidRPr="009E7A2C" w:rsidRDefault="007058A7" w:rsidP="007058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Началник на отдел „Хармонизация на техническата нормативна уредба“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дирекция „ТПН“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1A55D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>частие на представители на браншови организации, професи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онални организации, заинтересо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>ваните ведомства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>УАСГ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разработване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 xml:space="preserve"> на проекти на нормативни актове 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на </w:t>
            </w:r>
            <w:r w:rsidRPr="003455FE">
              <w:rPr>
                <w:rFonts w:ascii="Times New Roman" w:hAnsi="Times New Roman" w:cs="Times New Roman"/>
                <w:sz w:val="18"/>
                <w:szCs w:val="18"/>
              </w:rPr>
              <w:t>АГКК</w:t>
            </w:r>
          </w:p>
        </w:tc>
        <w:tc>
          <w:tcPr>
            <w:tcW w:w="3656" w:type="dxa"/>
            <w:gridSpan w:val="3"/>
          </w:tcPr>
          <w:p w:rsidR="00B34831" w:rsidRPr="001A55D0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Постоянен</w:t>
            </w:r>
          </w:p>
        </w:tc>
        <w:tc>
          <w:tcPr>
            <w:tcW w:w="3260" w:type="dxa"/>
            <w:gridSpan w:val="3"/>
          </w:tcPr>
          <w:p w:rsidR="00B34831" w:rsidRPr="008978D9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Изпълнителен директор на АГКК;</w:t>
            </w:r>
          </w:p>
          <w:p w:rsidR="00B34831" w:rsidRPr="001A55D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на дирекция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АПФО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1A55D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432C">
              <w:rPr>
                <w:rFonts w:ascii="Times New Roman" w:hAnsi="Times New Roman" w:cs="Times New Roman"/>
                <w:sz w:val="18"/>
                <w:szCs w:val="18"/>
              </w:rPr>
              <w:t>Осъществяване на публичн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4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информационни кампании</w:t>
            </w:r>
            <w:r w:rsidRPr="004C432C">
              <w:rPr>
                <w:rFonts w:ascii="Times New Roman" w:hAnsi="Times New Roman" w:cs="Times New Roman"/>
                <w:sz w:val="18"/>
                <w:szCs w:val="18"/>
              </w:rPr>
              <w:t xml:space="preserve"> за разясняване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дейността на</w:t>
            </w:r>
            <w:r w:rsidRPr="004C432C">
              <w:rPr>
                <w:rFonts w:ascii="Times New Roman" w:hAnsi="Times New Roman" w:cs="Times New Roman"/>
                <w:sz w:val="18"/>
                <w:szCs w:val="18"/>
              </w:rPr>
              <w:t xml:space="preserve"> АГКК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услугите, предоставяни от нея</w:t>
            </w:r>
          </w:p>
        </w:tc>
        <w:tc>
          <w:tcPr>
            <w:tcW w:w="3656" w:type="dxa"/>
            <w:gridSpan w:val="3"/>
          </w:tcPr>
          <w:p w:rsidR="00B34831" w:rsidRPr="001A55D0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Постоянен</w:t>
            </w:r>
          </w:p>
        </w:tc>
        <w:tc>
          <w:tcPr>
            <w:tcW w:w="3260" w:type="dxa"/>
            <w:gridSpan w:val="3"/>
          </w:tcPr>
          <w:p w:rsidR="00B34831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78D9">
              <w:rPr>
                <w:rFonts w:ascii="Times New Roman" w:hAnsi="Times New Roman" w:cs="Times New Roman"/>
                <w:sz w:val="18"/>
                <w:szCs w:val="18"/>
              </w:rPr>
              <w:t>Изпълнителен директор на АГКК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34831" w:rsidRPr="001A55D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Началници на СГКК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1A55D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55D0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Поддържане на интернет страницата на </w:t>
            </w:r>
            <w:r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Дирекцията за национален строителен контрол на </w:t>
            </w:r>
            <w:r w:rsidRPr="001A55D0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актуален публичен регистър на лицата, извършващи дейността консултант съгл. чл.167, ал.2 ЗУТ/2003, заедно със списък </w:t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t xml:space="preserve">на екипа от правоспособните физически лица </w:t>
            </w:r>
            <w:r w:rsidRPr="001A55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дата_на_издаване </w:instrText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t xml:space="preserve">от различните специалности, назначени по трудов или граждански договор, неразделна част от удостоверението </w:t>
            </w:r>
            <w:r w:rsidRPr="001A55D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дата_на_издаване </w:instrText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A55D0">
              <w:rPr>
                <w:rFonts w:ascii="Times New Roman" w:hAnsi="Times New Roman" w:cs="Times New Roman"/>
                <w:sz w:val="18"/>
                <w:szCs w:val="18"/>
              </w:rPr>
              <w:t>за упражняване дейностите оценка на съответствието на инвестиционните проекти и/или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пражняване на строителен надзор</w:t>
            </w:r>
          </w:p>
        </w:tc>
        <w:tc>
          <w:tcPr>
            <w:tcW w:w="3656" w:type="dxa"/>
            <w:gridSpan w:val="3"/>
          </w:tcPr>
          <w:p w:rsidR="00B34831" w:rsidRPr="001A55D0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1A55D0">
              <w:rPr>
                <w:sz w:val="18"/>
                <w:szCs w:val="18"/>
              </w:rPr>
              <w:t>Постоянен</w:t>
            </w:r>
          </w:p>
        </w:tc>
        <w:tc>
          <w:tcPr>
            <w:tcW w:w="3260" w:type="dxa"/>
            <w:gridSpan w:val="3"/>
          </w:tcPr>
          <w:p w:rsidR="00B34831" w:rsidRPr="001A55D0" w:rsidRDefault="00246CC0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CC0">
              <w:rPr>
                <w:rFonts w:ascii="Times New Roman" w:hAnsi="Times New Roman" w:cs="Times New Roman"/>
                <w:sz w:val="18"/>
                <w:szCs w:val="18"/>
              </w:rPr>
              <w:t>Началник на ДНСК, началник на отдел „Консултанти и регистри“ /КР/ в дирекция „Въвеждане в експлоатация и консултанти“ /ВЕК/, началник на отдел „Информационно и финансово-стопанско обслужване“ в дирекция „Административно, информационно и финансово-стопанско обслужване“ /АИФСО/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9215FC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bidi="bg-BG"/>
              </w:rPr>
            </w:pPr>
            <w:r w:rsidRPr="009215FC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>Поддържане на интернет страницата на ДНСК</w:t>
            </w:r>
            <w:r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 на </w:t>
            </w:r>
            <w:r w:rsidRPr="009215FC"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 актуален публичен регистър на издадените от ДНСК разрешения за ползване на строежи от</w:t>
            </w:r>
            <w:r>
              <w:rPr>
                <w:rFonts w:ascii="Times New Roman" w:hAnsi="Times New Roman" w:cs="Times New Roman"/>
                <w:sz w:val="18"/>
                <w:szCs w:val="18"/>
                <w:lang w:bidi="bg-BG"/>
              </w:rPr>
              <w:t xml:space="preserve"> първа, втора и трета категория</w:t>
            </w:r>
          </w:p>
        </w:tc>
        <w:tc>
          <w:tcPr>
            <w:tcW w:w="3656" w:type="dxa"/>
            <w:gridSpan w:val="3"/>
          </w:tcPr>
          <w:p w:rsidR="00B34831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Постоянен</w:t>
            </w:r>
          </w:p>
          <w:p w:rsidR="00B34831" w:rsidRPr="009215FC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9215FC">
              <w:rPr>
                <w:sz w:val="18"/>
                <w:szCs w:val="18"/>
              </w:rPr>
              <w:t>Ежемесечно актуализиране</w:t>
            </w:r>
          </w:p>
        </w:tc>
        <w:tc>
          <w:tcPr>
            <w:tcW w:w="3260" w:type="dxa"/>
            <w:gridSpan w:val="3"/>
          </w:tcPr>
          <w:p w:rsidR="00B34831" w:rsidRPr="009215FC" w:rsidRDefault="00246CC0" w:rsidP="00246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CC0">
              <w:rPr>
                <w:rFonts w:ascii="Times New Roman" w:hAnsi="Times New Roman" w:cs="Times New Roman"/>
                <w:sz w:val="18"/>
                <w:szCs w:val="18"/>
              </w:rPr>
              <w:t>Началник на ДНСК, началник на отдел КР в дирекция ВЕК, началник на отдел ИФСО в дирекция АИФСО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9215FC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5FC">
              <w:rPr>
                <w:rFonts w:ascii="Times New Roman" w:hAnsi="Times New Roman" w:cs="Times New Roman"/>
                <w:sz w:val="18"/>
                <w:szCs w:val="18"/>
              </w:rPr>
              <w:t>Поддържане н</w:t>
            </w:r>
            <w:r w:rsidRPr="009215FC">
              <w:rPr>
                <w:rFonts w:ascii="Times New Roman" w:eastAsia="Times New Roman" w:hAnsi="Times New Roman" w:cs="Times New Roman"/>
                <w:sz w:val="18"/>
                <w:szCs w:val="18"/>
              </w:rPr>
              <w:t>а интернет страницата на ДНСК</w:t>
            </w:r>
            <w:r w:rsidRPr="009215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Pr="009215FC">
              <w:rPr>
                <w:rFonts w:ascii="Times New Roman" w:hAnsi="Times New Roman" w:cs="Times New Roman"/>
                <w:sz w:val="18"/>
                <w:szCs w:val="18"/>
              </w:rPr>
              <w:t xml:space="preserve">актуален публичен регистър на влезлите в сила заповеди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премахване на незаконни строежи</w:t>
            </w:r>
          </w:p>
        </w:tc>
        <w:tc>
          <w:tcPr>
            <w:tcW w:w="3656" w:type="dxa"/>
            <w:gridSpan w:val="3"/>
          </w:tcPr>
          <w:p w:rsidR="00B34831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Постоянен</w:t>
            </w:r>
          </w:p>
          <w:p w:rsidR="00B34831" w:rsidRPr="009215FC" w:rsidRDefault="00B34831" w:rsidP="00B34831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9215FC">
              <w:rPr>
                <w:sz w:val="18"/>
                <w:szCs w:val="18"/>
              </w:rPr>
              <w:t>Ежемесечно актуализиране</w:t>
            </w:r>
          </w:p>
        </w:tc>
        <w:tc>
          <w:tcPr>
            <w:tcW w:w="3260" w:type="dxa"/>
            <w:gridSpan w:val="3"/>
          </w:tcPr>
          <w:p w:rsidR="00246CC0" w:rsidRPr="00246CC0" w:rsidRDefault="00246CC0" w:rsidP="00246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CC0">
              <w:rPr>
                <w:rFonts w:ascii="Times New Roman" w:hAnsi="Times New Roman" w:cs="Times New Roman"/>
                <w:sz w:val="18"/>
                <w:szCs w:val="18"/>
              </w:rPr>
              <w:t>Началник на ДНСК,</w:t>
            </w:r>
          </w:p>
          <w:p w:rsidR="00B34831" w:rsidRPr="009215FC" w:rsidRDefault="00246CC0" w:rsidP="00246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CC0">
              <w:rPr>
                <w:rFonts w:ascii="Times New Roman" w:hAnsi="Times New Roman" w:cs="Times New Roman"/>
                <w:sz w:val="18"/>
                <w:szCs w:val="18"/>
              </w:rPr>
              <w:t>Главен директор на главна дирекция „Строителен контрол“, началник на отдел КР  в дирекция ВЕК, началник на отдел ИФСО в дирекция АИФСО</w:t>
            </w:r>
          </w:p>
        </w:tc>
        <w:tc>
          <w:tcPr>
            <w:tcW w:w="1976" w:type="dxa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976" w:type="dxa"/>
            <w:gridSpan w:val="3"/>
            <w:shd w:val="clear" w:color="auto" w:fill="auto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15400" w:type="dxa"/>
            <w:gridSpan w:val="12"/>
            <w:shd w:val="clear" w:color="auto" w:fill="92D050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Обучения</w:t>
            </w:r>
          </w:p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4532" w:type="dxa"/>
            <w:gridSpan w:val="2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Брой на проведените обучения</w:t>
            </w:r>
          </w:p>
        </w:tc>
        <w:tc>
          <w:tcPr>
            <w:tcW w:w="6916" w:type="dxa"/>
            <w:gridSpan w:val="6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 xml:space="preserve">Теми, по които са проведени обучения и броя на обучените по всяка тема служители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и</w:t>
            </w: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 xml:space="preserve"> длъжността им</w:t>
            </w:r>
          </w:p>
        </w:tc>
        <w:tc>
          <w:tcPr>
            <w:tcW w:w="3952" w:type="dxa"/>
            <w:gridSpan w:val="4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95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 w:bidi="bg-BG"/>
              </w:rPr>
              <w:t>Индикатор</w:t>
            </w: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8D1EF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6" w:type="dxa"/>
            <w:gridSpan w:val="6"/>
          </w:tcPr>
          <w:p w:rsidR="00B34831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CFD">
              <w:rPr>
                <w:rFonts w:ascii="Times New Roman" w:hAnsi="Times New Roman" w:cs="Times New Roman"/>
                <w:sz w:val="18"/>
                <w:szCs w:val="18"/>
              </w:rPr>
              <w:t xml:space="preserve">Провеждане на обучения и разяснения на максимален брой служители в областта на противодействие на корупцията и конфликт на интереси, във връзка с прилагане на Закона за противодействие на корупцията и за отнемане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незаконно придобитото имущество</w:t>
            </w:r>
          </w:p>
          <w:p w:rsidR="00B34831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831" w:rsidRPr="00A33AE7" w:rsidRDefault="00B34831" w:rsidP="00B348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2" w:type="dxa"/>
            <w:gridSpan w:val="4"/>
          </w:tcPr>
          <w:p w:rsidR="00B34831" w:rsidRPr="008D1EF0" w:rsidRDefault="00B34831" w:rsidP="00B3483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34831" w:rsidRPr="00EB2358" w:rsidTr="007208CE">
        <w:tc>
          <w:tcPr>
            <w:tcW w:w="15400" w:type="dxa"/>
            <w:gridSpan w:val="12"/>
            <w:shd w:val="clear" w:color="auto" w:fill="92D050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Посочване на възможни начини за подаване на сигнали</w:t>
            </w:r>
          </w:p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</w:p>
        </w:tc>
      </w:tr>
      <w:tr w:rsidR="00B34831" w:rsidRPr="00EB2358" w:rsidTr="007208CE">
        <w:trPr>
          <w:gridAfter w:val="1"/>
          <w:wAfter w:w="20" w:type="dxa"/>
        </w:trPr>
        <w:tc>
          <w:tcPr>
            <w:tcW w:w="4532" w:type="dxa"/>
            <w:gridSpan w:val="2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Адрес</w:t>
            </w:r>
          </w:p>
        </w:tc>
        <w:tc>
          <w:tcPr>
            <w:tcW w:w="3656" w:type="dxa"/>
            <w:gridSpan w:val="3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E-</w:t>
            </w:r>
            <w:proofErr w:type="spellStart"/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mail</w:t>
            </w:r>
            <w:proofErr w:type="spellEnd"/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адрес</w:t>
            </w:r>
          </w:p>
        </w:tc>
        <w:tc>
          <w:tcPr>
            <w:tcW w:w="1518" w:type="dxa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Телефонен номер</w:t>
            </w:r>
          </w:p>
        </w:tc>
        <w:tc>
          <w:tcPr>
            <w:tcW w:w="3849" w:type="dxa"/>
            <w:gridSpan w:val="4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Специални кутии, поставени в </w:t>
            </w: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администрацията /описание на местонахождението/</w:t>
            </w:r>
          </w:p>
        </w:tc>
        <w:tc>
          <w:tcPr>
            <w:tcW w:w="1825" w:type="dxa"/>
            <w:shd w:val="clear" w:color="auto" w:fill="FFFFCC"/>
          </w:tcPr>
          <w:p w:rsidR="00B34831" w:rsidRPr="00EB2358" w:rsidRDefault="00B34831" w:rsidP="00B34831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Други</w:t>
            </w:r>
          </w:p>
        </w:tc>
      </w:tr>
      <w:tr w:rsidR="00B34831" w:rsidRPr="00EB2358" w:rsidTr="007208CE">
        <w:trPr>
          <w:gridAfter w:val="1"/>
          <w:wAfter w:w="20" w:type="dxa"/>
        </w:trPr>
        <w:tc>
          <w:tcPr>
            <w:tcW w:w="4532" w:type="dxa"/>
            <w:gridSpan w:val="2"/>
          </w:tcPr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МРРБ – гр. София 1202, </w:t>
            </w:r>
            <w:proofErr w:type="spellStart"/>
            <w:r w:rsidRPr="00C341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bg-BG" w:bidi="bg-BG"/>
              </w:rPr>
              <w:t>ул</w:t>
            </w:r>
            <w:proofErr w:type="spellEnd"/>
            <w:r w:rsidRPr="00C341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bg-BG" w:bidi="bg-BG"/>
              </w:rPr>
              <w:t>.“</w:t>
            </w:r>
            <w:proofErr w:type="spellStart"/>
            <w:r w:rsidRPr="00C341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bg-BG" w:bidi="bg-BG"/>
              </w:rPr>
              <w:t>Св.Св.</w:t>
            </w:r>
            <w:proofErr w:type="spellEnd"/>
            <w:r w:rsidRPr="00C3414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Кирил и Методий“ 17-19;</w:t>
            </w:r>
          </w:p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B34831" w:rsidRPr="00C34148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B34831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Pr="00B3171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bg-BG" w:bidi="bg-BG"/>
              </w:rPr>
            </w:pPr>
          </w:p>
          <w:p w:rsidR="00A118AF" w:rsidRDefault="00A118AF" w:rsidP="00A118A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ГД „СППРР“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към МРРБ </w:t>
            </w: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–</w:t>
            </w:r>
          </w:p>
          <w:p w:rsidR="00B34831" w:rsidRDefault="00A118AF" w:rsidP="00A118AF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гр. </w:t>
            </w: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София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1618,</w:t>
            </w: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 бул. "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Цар Борис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bg-BG" w:bidi="bg-BG"/>
              </w:rPr>
              <w:t>III</w:t>
            </w: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"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№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bg-BG" w:bidi="bg-BG"/>
              </w:rPr>
              <w:t>2</w:t>
            </w: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15</w:t>
            </w:r>
          </w:p>
          <w:p w:rsidR="00B34831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Дирекция „УТС“ към МРРБ – </w:t>
            </w: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гр. София, ул. Стефан Караджа 9</w:t>
            </w:r>
          </w:p>
        </w:tc>
        <w:tc>
          <w:tcPr>
            <w:tcW w:w="3656" w:type="dxa"/>
            <w:gridSpan w:val="3"/>
          </w:tcPr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E-mail </w:t>
            </w: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: </w:t>
            </w:r>
            <w:hyperlink r:id="rId5" w:history="1">
              <w:r w:rsidRPr="00FA54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bg-BG" w:bidi="bg-BG"/>
                </w:rPr>
                <w:t>anticorr@mrrb.government.bg</w:t>
              </w:r>
            </w:hyperlink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hyperlink r:id="rId6" w:history="1">
              <w:r w:rsidRPr="00FA54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bg-BG" w:bidi="bg-BG"/>
                </w:rPr>
                <w:t>inspektorat@mrrb.government.bg</w:t>
              </w:r>
            </w:hyperlink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  <w:p w:rsidR="00B34831" w:rsidRDefault="00B34831" w:rsidP="00B34831">
            <w:pPr>
              <w:widowControl w:val="0"/>
            </w:pPr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hyperlink r:id="rId7" w:history="1">
              <w:r w:rsidRPr="00E13BA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bg-BG" w:bidi="bg-BG"/>
                </w:rPr>
                <w:t>http://www.bgregio.eu/izpalnenie-na-dogovori/signali-za-nerednosti.aspx</w:t>
              </w:r>
            </w:hyperlink>
            <w:r w:rsidRPr="00B9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</w:t>
            </w:r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A118AF" w:rsidRDefault="00A118AF" w:rsidP="00A118AF">
            <w:pPr>
              <w:widowControl w:val="0"/>
              <w:rPr>
                <w:rStyle w:val="Hyperlink"/>
                <w:rFonts w:ascii="Times New Roman" w:eastAsia="Arial Unicode MS" w:hAnsi="Times New Roman" w:cs="Times New Roman"/>
                <w:sz w:val="18"/>
                <w:szCs w:val="18"/>
                <w:lang w:eastAsia="bg-BG" w:bidi="bg-BG"/>
              </w:rPr>
            </w:pPr>
            <w:hyperlink r:id="rId8" w:history="1">
              <w:r w:rsidRPr="005A0E71">
                <w:rPr>
                  <w:rStyle w:val="Hyperlink"/>
                  <w:rFonts w:ascii="Times New Roman" w:eastAsia="Arial Unicode MS" w:hAnsi="Times New Roman" w:cs="Times New Roman"/>
                  <w:sz w:val="18"/>
                  <w:szCs w:val="18"/>
                  <w:lang w:eastAsia="bg-BG" w:bidi="bg-BG"/>
                </w:rPr>
                <w:t>D.Petkova@mrrb.government.bg</w:t>
              </w:r>
            </w:hyperlink>
          </w:p>
          <w:p w:rsidR="00A118AF" w:rsidRDefault="00A118AF" w:rsidP="00A118AF">
            <w:pPr>
              <w:widowControl w:val="0"/>
              <w:rPr>
                <w:rStyle w:val="Hyperlink"/>
                <w:rFonts w:ascii="Times New Roman" w:eastAsia="Arial Unicode MS" w:hAnsi="Times New Roman" w:cs="Times New Roman"/>
                <w:sz w:val="18"/>
                <w:szCs w:val="18"/>
                <w:lang w:eastAsia="bg-BG" w:bidi="bg-BG"/>
              </w:rPr>
            </w:pPr>
            <w:hyperlink r:id="rId9" w:history="1">
              <w:r w:rsidRPr="005A0E71">
                <w:rPr>
                  <w:rStyle w:val="Hyperlink"/>
                  <w:rFonts w:ascii="Times New Roman" w:eastAsia="Arial Unicode MS" w:hAnsi="Times New Roman" w:cs="Times New Roman"/>
                  <w:sz w:val="18"/>
                  <w:szCs w:val="18"/>
                  <w:lang w:eastAsia="bg-BG" w:bidi="bg-BG"/>
                </w:rPr>
                <w:t>Yana.Koleva@mrrb.government.bg</w:t>
              </w:r>
            </w:hyperlink>
          </w:p>
          <w:p w:rsidR="00B34831" w:rsidRPr="00FC7083" w:rsidRDefault="00A118AF" w:rsidP="00A118A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bg-BG" w:bidi="bg-BG"/>
              </w:rPr>
            </w:pPr>
            <w:r w:rsidRPr="00377460">
              <w:rPr>
                <w:rStyle w:val="Hyperlink"/>
                <w:rFonts w:ascii="Times New Roman" w:eastAsia="Arial Unicode MS" w:hAnsi="Times New Roman" w:cs="Times New Roman"/>
                <w:sz w:val="18"/>
                <w:szCs w:val="18"/>
                <w:lang w:eastAsia="bg-BG" w:bidi="bg-BG"/>
              </w:rPr>
              <w:t>Rositsa.Draganova@mrrb.government.bg</w:t>
            </w:r>
          </w:p>
        </w:tc>
        <w:tc>
          <w:tcPr>
            <w:tcW w:w="1518" w:type="dxa"/>
          </w:tcPr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Pr="00B952CD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Телефонен номер: </w:t>
            </w:r>
            <w:r w:rsidRPr="00B952C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080011918</w:t>
            </w: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02/ 9405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 439                           </w:t>
            </w: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02/ 9405 383</w:t>
            </w: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</w:p>
          <w:p w:rsidR="007D4D99" w:rsidRPr="007D4D99" w:rsidRDefault="007D4D99" w:rsidP="007D4D9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7D4D9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02/9405588</w:t>
            </w:r>
          </w:p>
          <w:p w:rsidR="007D4D99" w:rsidRPr="007D4D99" w:rsidRDefault="007D4D99" w:rsidP="007D4D9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7D4D9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02/9405536</w:t>
            </w:r>
          </w:p>
          <w:p w:rsidR="00B34831" w:rsidRPr="00B952CD" w:rsidRDefault="007D4D99" w:rsidP="007D4D9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7D4D9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02/9405533</w:t>
            </w:r>
          </w:p>
        </w:tc>
        <w:tc>
          <w:tcPr>
            <w:tcW w:w="3849" w:type="dxa"/>
            <w:gridSpan w:val="4"/>
          </w:tcPr>
          <w:p w:rsidR="00B34831" w:rsidRPr="00390970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909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 входа на Центъра за административно обслужване в МРРБ е поставена кутия за подаване на сигнали за корупция;</w:t>
            </w:r>
          </w:p>
          <w:p w:rsidR="00B34831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:rsidR="00B34831" w:rsidRPr="00390970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909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 Центъра за административно обслужване в МРРБ е поставена кутия за мнения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 </w:t>
            </w:r>
            <w:r w:rsidRPr="0039097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коментари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на граждани </w:t>
            </w:r>
          </w:p>
          <w:p w:rsidR="00B34831" w:rsidRPr="0075636C" w:rsidRDefault="00B34831" w:rsidP="00B3483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825" w:type="dxa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rPr>
          <w:gridAfter w:val="1"/>
          <w:wAfter w:w="20" w:type="dxa"/>
        </w:trPr>
        <w:tc>
          <w:tcPr>
            <w:tcW w:w="4532" w:type="dxa"/>
            <w:gridSpan w:val="2"/>
          </w:tcPr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Агенция „Пътна инфраструктура“ – </w:t>
            </w: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гр. София 1606, </w:t>
            </w:r>
          </w:p>
          <w:p w:rsidR="00B34831" w:rsidRPr="00B952CD" w:rsidRDefault="00B34831" w:rsidP="00B34831">
            <w:pPr>
              <w:widowContro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бул. „Македония“ № 3</w:t>
            </w:r>
          </w:p>
        </w:tc>
        <w:tc>
          <w:tcPr>
            <w:tcW w:w="3656" w:type="dxa"/>
            <w:gridSpan w:val="3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E-mail </w:t>
            </w: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:</w:t>
            </w:r>
            <w:r>
              <w:t xml:space="preserve"> </w:t>
            </w:r>
            <w:hyperlink r:id="rId10" w:history="1">
              <w:r w:rsidRPr="00FA54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bg-BG" w:bidi="bg-BG"/>
                </w:rPr>
                <w:t>signali@api.bg</w:t>
              </w:r>
            </w:hyperlink>
          </w:p>
        </w:tc>
        <w:tc>
          <w:tcPr>
            <w:tcW w:w="1518" w:type="dxa"/>
          </w:tcPr>
          <w:p w:rsidR="00B34831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Телефонен номер: </w:t>
            </w:r>
          </w:p>
          <w:p w:rsidR="00B34831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0800 130 10</w:t>
            </w:r>
          </w:p>
          <w:p w:rsidR="00B34831" w:rsidRPr="005D7088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0700 130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</w:p>
          <w:p w:rsidR="00B34831" w:rsidRPr="00B952CD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3849" w:type="dxa"/>
            <w:gridSpan w:val="4"/>
          </w:tcPr>
          <w:p w:rsidR="00B34831" w:rsidRPr="00B952CD" w:rsidRDefault="00B34831" w:rsidP="00B3483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В звената за обслужване на клиенти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е</w:t>
            </w:r>
            <w:r w:rsidRPr="00B952C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поставен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а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кути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я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за мнения, коментари и оплаквания на гражданите</w:t>
            </w:r>
          </w:p>
        </w:tc>
        <w:tc>
          <w:tcPr>
            <w:tcW w:w="1825" w:type="dxa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rPr>
          <w:gridAfter w:val="1"/>
          <w:wAfter w:w="20" w:type="dxa"/>
        </w:trPr>
        <w:tc>
          <w:tcPr>
            <w:tcW w:w="4532" w:type="dxa"/>
            <w:gridSpan w:val="2"/>
          </w:tcPr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Агенция по геодезия, картография и кадастър – </w:t>
            </w:r>
          </w:p>
          <w:p w:rsidR="00B34831" w:rsidRPr="00B952CD" w:rsidRDefault="00B34831" w:rsidP="00B348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гр. София 1618, кв. „Павлово“, ул. „Мусала“ 1</w:t>
            </w:r>
          </w:p>
          <w:p w:rsidR="00B34831" w:rsidRPr="00B952CD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3656" w:type="dxa"/>
            <w:gridSpan w:val="3"/>
          </w:tcPr>
          <w:p w:rsidR="00B34831" w:rsidRDefault="00B34831" w:rsidP="00B34831">
            <w:pPr>
              <w:widowControl w:val="0"/>
            </w:pP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E-mail </w:t>
            </w: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:</w:t>
            </w:r>
            <w:r>
              <w:t xml:space="preserve"> </w:t>
            </w:r>
          </w:p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hyperlink r:id="rId11" w:history="1">
              <w:r w:rsidRPr="00FA54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bg-BG" w:bidi="bg-BG"/>
                </w:rPr>
                <w:t>acad@cadastre.bg</w:t>
              </w:r>
            </w:hyperlink>
          </w:p>
        </w:tc>
        <w:tc>
          <w:tcPr>
            <w:tcW w:w="1518" w:type="dxa"/>
          </w:tcPr>
          <w:p w:rsidR="00B34831" w:rsidRPr="00B952CD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>Телефонен номер:</w:t>
            </w:r>
          </w:p>
          <w:p w:rsidR="00B34831" w:rsidRPr="00B952CD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>02/818 83 83</w:t>
            </w:r>
          </w:p>
          <w:p w:rsidR="00B34831" w:rsidRPr="00B952CD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>02/818 83 45</w:t>
            </w:r>
          </w:p>
          <w:p w:rsidR="00B34831" w:rsidRPr="00B952CD" w:rsidRDefault="00B34831" w:rsidP="00B3483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>02/818 83 38</w:t>
            </w:r>
          </w:p>
        </w:tc>
        <w:tc>
          <w:tcPr>
            <w:tcW w:w="3849" w:type="dxa"/>
            <w:gridSpan w:val="4"/>
          </w:tcPr>
          <w:p w:rsidR="00B34831" w:rsidRPr="00B952CD" w:rsidRDefault="00B34831" w:rsidP="00B3483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В звената за обслужване на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клиенти е поставена кутия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за мнения, коментари и оплаквания на гражданите</w:t>
            </w:r>
          </w:p>
          <w:p w:rsidR="00B34831" w:rsidRPr="00B952CD" w:rsidRDefault="00B34831" w:rsidP="00B3483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825" w:type="dxa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rPr>
          <w:gridAfter w:val="1"/>
          <w:wAfter w:w="20" w:type="dxa"/>
        </w:trPr>
        <w:tc>
          <w:tcPr>
            <w:tcW w:w="4532" w:type="dxa"/>
            <w:gridSpan w:val="2"/>
          </w:tcPr>
          <w:p w:rsidR="00B34831" w:rsidRPr="00B952CD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 xml:space="preserve">Дирекция за национален строителен контрол – </w:t>
            </w:r>
          </w:p>
          <w:p w:rsidR="00B34831" w:rsidRPr="00B952CD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bg-BG" w:bidi="bg-BG"/>
              </w:rPr>
              <w:t>гр. София 1606, бул. „Христо Ботев“ № 47</w:t>
            </w:r>
          </w:p>
        </w:tc>
        <w:tc>
          <w:tcPr>
            <w:tcW w:w="3656" w:type="dxa"/>
            <w:gridSpan w:val="3"/>
          </w:tcPr>
          <w:p w:rsidR="00B34831" w:rsidRPr="004D2AEE" w:rsidRDefault="00B34831" w:rsidP="00B34831">
            <w:pPr>
              <w:widowControl w:val="0"/>
              <w:rPr>
                <w:rFonts w:ascii="Calibri" w:hAnsi="Calibri"/>
                <w:b/>
                <w:bCs/>
              </w:rPr>
            </w:pP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E-mail </w:t>
            </w:r>
            <w:r w:rsidRPr="00C34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:</w:t>
            </w:r>
            <w:r w:rsidRPr="004D2AEE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hyperlink r:id="rId12" w:history="1">
              <w:r w:rsidRPr="004D2AE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 w:eastAsia="bg-BG" w:bidi="bg-BG"/>
                </w:rPr>
                <w:t>coruption@dnsk.bg</w:t>
              </w:r>
            </w:hyperlink>
          </w:p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1518" w:type="dxa"/>
          </w:tcPr>
          <w:p w:rsidR="00B34831" w:rsidRPr="00B952CD" w:rsidRDefault="00B34831" w:rsidP="00B348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52CD">
              <w:rPr>
                <w:rFonts w:ascii="Times New Roman" w:eastAsia="Calibri" w:hAnsi="Times New Roman" w:cs="Times New Roman"/>
                <w:sz w:val="18"/>
                <w:szCs w:val="18"/>
              </w:rPr>
              <w:t>Телефонен номер:</w:t>
            </w:r>
            <w:r w:rsidRPr="00B952C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080011081</w:t>
            </w:r>
          </w:p>
          <w:p w:rsidR="00B34831" w:rsidRPr="00B952CD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  <w:tc>
          <w:tcPr>
            <w:tcW w:w="3849" w:type="dxa"/>
            <w:gridSpan w:val="4"/>
          </w:tcPr>
          <w:p w:rsidR="00B34831" w:rsidRPr="00B952CD" w:rsidRDefault="00B34831" w:rsidP="00B3483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В звената за обслужване на клиенти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е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поставен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а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кути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я</w:t>
            </w:r>
            <w:r w:rsidRPr="00B952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 xml:space="preserve"> за мнения, коментари и оплаквания на гражданите</w:t>
            </w:r>
          </w:p>
        </w:tc>
        <w:tc>
          <w:tcPr>
            <w:tcW w:w="1825" w:type="dxa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</w:p>
        </w:tc>
      </w:tr>
      <w:tr w:rsidR="00B34831" w:rsidRPr="00EB2358" w:rsidTr="007208CE">
        <w:tc>
          <w:tcPr>
            <w:tcW w:w="15400" w:type="dxa"/>
            <w:gridSpan w:val="12"/>
            <w:shd w:val="clear" w:color="auto" w:fill="92D050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Мерки за защита на лицата, подали сигнали</w:t>
            </w: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 xml:space="preserve"> </w:t>
            </w:r>
          </w:p>
        </w:tc>
      </w:tr>
      <w:tr w:rsidR="00B34831" w:rsidRPr="00EB2358" w:rsidTr="007208CE">
        <w:tc>
          <w:tcPr>
            <w:tcW w:w="4532" w:type="dxa"/>
            <w:gridSpan w:val="2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</w:pPr>
            <w:r w:rsidRPr="00EB2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 w:bidi="bg-BG"/>
              </w:rPr>
              <w:t>Същност на мерките</w:t>
            </w:r>
          </w:p>
        </w:tc>
        <w:tc>
          <w:tcPr>
            <w:tcW w:w="10868" w:type="dxa"/>
            <w:gridSpan w:val="10"/>
          </w:tcPr>
          <w:p w:rsidR="00B34831" w:rsidRPr="00EB2358" w:rsidRDefault="00B34831" w:rsidP="00B34831">
            <w:pPr>
              <w:widowControl w:val="0"/>
              <w:spacing w:line="295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</w:pPr>
            <w:r w:rsidRPr="00370C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Със Заповед № РД-02-14-1097/05.11.2018 г. на министъра на регионалното развитие и благоустройството са утвърдени „Вътрешни правила за организацията и реда за извършване на пров</w:t>
            </w:r>
            <w:r w:rsidR="00EC10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ерка на декларациите по Закона з</w:t>
            </w:r>
            <w:bookmarkStart w:id="0" w:name="_GoBack"/>
            <w:bookmarkEnd w:id="0"/>
            <w:r w:rsidRPr="00370C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g-BG" w:bidi="bg-BG"/>
              </w:rPr>
              <w:t>а противодействие на корупцията и за отнемане на незаконно придобитото имущество и за установяване на конфликт на интереси от Инспектората на МРРБ“. В същите са описани механизмите за подаване на сигнали за корупция и конфликт на интереси, тяхното регистриране и обработване, както и защитата на лицата, подали такива сигнали.</w:t>
            </w:r>
          </w:p>
        </w:tc>
      </w:tr>
    </w:tbl>
    <w:p w:rsidR="009B454A" w:rsidRDefault="009B454A"/>
    <w:sectPr w:rsidR="009B454A" w:rsidSect="00B451BF"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24"/>
    <w:rsid w:val="000000AA"/>
    <w:rsid w:val="000070D1"/>
    <w:rsid w:val="000073D8"/>
    <w:rsid w:val="00011D66"/>
    <w:rsid w:val="00012458"/>
    <w:rsid w:val="000228DE"/>
    <w:rsid w:val="00025A55"/>
    <w:rsid w:val="000536BD"/>
    <w:rsid w:val="00056EB4"/>
    <w:rsid w:val="000605F8"/>
    <w:rsid w:val="000A04F6"/>
    <w:rsid w:val="000C23EB"/>
    <w:rsid w:val="000D6489"/>
    <w:rsid w:val="00112D35"/>
    <w:rsid w:val="00130C24"/>
    <w:rsid w:val="00170C49"/>
    <w:rsid w:val="00173D02"/>
    <w:rsid w:val="0017649D"/>
    <w:rsid w:val="00187007"/>
    <w:rsid w:val="001A391A"/>
    <w:rsid w:val="001B4A93"/>
    <w:rsid w:val="001C10EC"/>
    <w:rsid w:val="00201038"/>
    <w:rsid w:val="00210457"/>
    <w:rsid w:val="00220F42"/>
    <w:rsid w:val="00234CEF"/>
    <w:rsid w:val="00246CC0"/>
    <w:rsid w:val="0028595D"/>
    <w:rsid w:val="002924FF"/>
    <w:rsid w:val="00294423"/>
    <w:rsid w:val="002B3419"/>
    <w:rsid w:val="002F641A"/>
    <w:rsid w:val="00302D9F"/>
    <w:rsid w:val="00304358"/>
    <w:rsid w:val="00306277"/>
    <w:rsid w:val="00321DDA"/>
    <w:rsid w:val="003455FE"/>
    <w:rsid w:val="003615C1"/>
    <w:rsid w:val="00370CFD"/>
    <w:rsid w:val="00377D60"/>
    <w:rsid w:val="003C13F5"/>
    <w:rsid w:val="003D6900"/>
    <w:rsid w:val="00466970"/>
    <w:rsid w:val="00474CB3"/>
    <w:rsid w:val="004C07F0"/>
    <w:rsid w:val="004C432C"/>
    <w:rsid w:val="004C5094"/>
    <w:rsid w:val="004D6338"/>
    <w:rsid w:val="004D7954"/>
    <w:rsid w:val="004F60B8"/>
    <w:rsid w:val="00520724"/>
    <w:rsid w:val="00524C2F"/>
    <w:rsid w:val="0053282C"/>
    <w:rsid w:val="00541D68"/>
    <w:rsid w:val="005442EC"/>
    <w:rsid w:val="00554A38"/>
    <w:rsid w:val="00564F47"/>
    <w:rsid w:val="00567382"/>
    <w:rsid w:val="00567B6B"/>
    <w:rsid w:val="005A0481"/>
    <w:rsid w:val="005E168F"/>
    <w:rsid w:val="0060558A"/>
    <w:rsid w:val="00613A9C"/>
    <w:rsid w:val="00620CCC"/>
    <w:rsid w:val="006228EB"/>
    <w:rsid w:val="00650721"/>
    <w:rsid w:val="006A7DFA"/>
    <w:rsid w:val="006D286C"/>
    <w:rsid w:val="006F44CC"/>
    <w:rsid w:val="007009BE"/>
    <w:rsid w:val="007058A7"/>
    <w:rsid w:val="007208CE"/>
    <w:rsid w:val="007605C5"/>
    <w:rsid w:val="00765151"/>
    <w:rsid w:val="007D4D99"/>
    <w:rsid w:val="007D7A45"/>
    <w:rsid w:val="007E0B23"/>
    <w:rsid w:val="007E6827"/>
    <w:rsid w:val="00801F12"/>
    <w:rsid w:val="00826691"/>
    <w:rsid w:val="00852B2F"/>
    <w:rsid w:val="00854712"/>
    <w:rsid w:val="008978D9"/>
    <w:rsid w:val="008A247D"/>
    <w:rsid w:val="008A7045"/>
    <w:rsid w:val="008C3BD2"/>
    <w:rsid w:val="009175A3"/>
    <w:rsid w:val="00920059"/>
    <w:rsid w:val="00922925"/>
    <w:rsid w:val="009339F8"/>
    <w:rsid w:val="0093631E"/>
    <w:rsid w:val="0096558B"/>
    <w:rsid w:val="0099134B"/>
    <w:rsid w:val="00997DAE"/>
    <w:rsid w:val="009B454A"/>
    <w:rsid w:val="009E7A2C"/>
    <w:rsid w:val="00A118AF"/>
    <w:rsid w:val="00A22897"/>
    <w:rsid w:val="00A33F42"/>
    <w:rsid w:val="00A6752F"/>
    <w:rsid w:val="00A72A99"/>
    <w:rsid w:val="00A7585E"/>
    <w:rsid w:val="00A80FE8"/>
    <w:rsid w:val="00A84DF3"/>
    <w:rsid w:val="00A859BB"/>
    <w:rsid w:val="00A963D2"/>
    <w:rsid w:val="00AC40AD"/>
    <w:rsid w:val="00AD3731"/>
    <w:rsid w:val="00AD6116"/>
    <w:rsid w:val="00AE1CDF"/>
    <w:rsid w:val="00AF7A4A"/>
    <w:rsid w:val="00B00DAB"/>
    <w:rsid w:val="00B016A4"/>
    <w:rsid w:val="00B06894"/>
    <w:rsid w:val="00B3171D"/>
    <w:rsid w:val="00B34831"/>
    <w:rsid w:val="00B350F9"/>
    <w:rsid w:val="00B43B41"/>
    <w:rsid w:val="00B451BF"/>
    <w:rsid w:val="00B61CB5"/>
    <w:rsid w:val="00B626B0"/>
    <w:rsid w:val="00B736D1"/>
    <w:rsid w:val="00B74165"/>
    <w:rsid w:val="00B935C0"/>
    <w:rsid w:val="00BA0730"/>
    <w:rsid w:val="00BA6E0C"/>
    <w:rsid w:val="00BA7B6E"/>
    <w:rsid w:val="00BB623C"/>
    <w:rsid w:val="00BC4993"/>
    <w:rsid w:val="00C03827"/>
    <w:rsid w:val="00C37959"/>
    <w:rsid w:val="00C5497C"/>
    <w:rsid w:val="00C63F90"/>
    <w:rsid w:val="00C66C39"/>
    <w:rsid w:val="00C74703"/>
    <w:rsid w:val="00C77672"/>
    <w:rsid w:val="00C96700"/>
    <w:rsid w:val="00CA7DB3"/>
    <w:rsid w:val="00CE356F"/>
    <w:rsid w:val="00D22E18"/>
    <w:rsid w:val="00D41E49"/>
    <w:rsid w:val="00D52A5E"/>
    <w:rsid w:val="00D5327F"/>
    <w:rsid w:val="00D55A74"/>
    <w:rsid w:val="00D61244"/>
    <w:rsid w:val="00D6161B"/>
    <w:rsid w:val="00D812D5"/>
    <w:rsid w:val="00D91B70"/>
    <w:rsid w:val="00D950D2"/>
    <w:rsid w:val="00DD1228"/>
    <w:rsid w:val="00DD6621"/>
    <w:rsid w:val="00DF6ECC"/>
    <w:rsid w:val="00E04004"/>
    <w:rsid w:val="00E06B6B"/>
    <w:rsid w:val="00E136B3"/>
    <w:rsid w:val="00E247EE"/>
    <w:rsid w:val="00E440A5"/>
    <w:rsid w:val="00E843C2"/>
    <w:rsid w:val="00E857E7"/>
    <w:rsid w:val="00EA1902"/>
    <w:rsid w:val="00EA55B6"/>
    <w:rsid w:val="00EC10D0"/>
    <w:rsid w:val="00ED25A0"/>
    <w:rsid w:val="00F5120E"/>
    <w:rsid w:val="00F61779"/>
    <w:rsid w:val="00F727FF"/>
    <w:rsid w:val="00F84541"/>
    <w:rsid w:val="00F95224"/>
    <w:rsid w:val="00F95C80"/>
    <w:rsid w:val="00FC19EF"/>
    <w:rsid w:val="00FD1F0A"/>
    <w:rsid w:val="00FD79E5"/>
    <w:rsid w:val="00FF1F64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40D6"/>
  <w15:docId w15:val="{38D74C5D-E980-4D48-90DD-93792BFE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4D79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D7954"/>
    <w:pPr>
      <w:widowControl w:val="0"/>
      <w:shd w:val="clear" w:color="auto" w:fill="FFFFFF"/>
      <w:spacing w:before="240" w:after="0" w:line="277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79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D7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tkova@mrrb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gregio.eu/izpalnenie-na-dogovori/signali-za-nerednosti.aspx" TargetMode="External"/><Relationship Id="rId12" Type="http://schemas.openxmlformats.org/officeDocument/2006/relationships/hyperlink" Target="mailto:coruption@dnsk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at@mrrb.government.bg" TargetMode="External"/><Relationship Id="rId11" Type="http://schemas.openxmlformats.org/officeDocument/2006/relationships/hyperlink" Target="mailto:acad@cadastre.bg" TargetMode="External"/><Relationship Id="rId5" Type="http://schemas.openxmlformats.org/officeDocument/2006/relationships/hyperlink" Target="mailto:anticorr@mrrb.government.bg" TargetMode="External"/><Relationship Id="rId10" Type="http://schemas.openxmlformats.org/officeDocument/2006/relationships/hyperlink" Target="mailto:signali@api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a.Koleva@mrrb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A851-C3AE-42B4-AA28-64FCE7C4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Rudarova</dc:creator>
  <cp:keywords/>
  <dc:description/>
  <cp:lastModifiedBy>MINA NIKOLOVA RUDAROVA</cp:lastModifiedBy>
  <cp:revision>151</cp:revision>
  <cp:lastPrinted>2020-01-30T13:30:00Z</cp:lastPrinted>
  <dcterms:created xsi:type="dcterms:W3CDTF">2018-12-21T11:21:00Z</dcterms:created>
  <dcterms:modified xsi:type="dcterms:W3CDTF">2020-01-30T14:12:00Z</dcterms:modified>
</cp:coreProperties>
</file>