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28" w:rsidRPr="008326FF" w:rsidRDefault="003D2928" w:rsidP="003D2928">
      <w:pPr>
        <w:widowControl w:val="0"/>
        <w:spacing w:after="0" w:line="295" w:lineRule="exact"/>
        <w:ind w:left="9192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bg-BG" w:bidi="bg-BG"/>
        </w:rPr>
      </w:pP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27"/>
        <w:gridCol w:w="1305"/>
        <w:gridCol w:w="396"/>
        <w:gridCol w:w="1984"/>
        <w:gridCol w:w="1296"/>
        <w:gridCol w:w="122"/>
        <w:gridCol w:w="1538"/>
        <w:gridCol w:w="21"/>
        <w:gridCol w:w="709"/>
        <w:gridCol w:w="2019"/>
        <w:gridCol w:w="108"/>
        <w:gridCol w:w="3010"/>
      </w:tblGrid>
      <w:tr w:rsidR="004C4104" w:rsidTr="00CA17C2">
        <w:tc>
          <w:tcPr>
            <w:tcW w:w="15735" w:type="dxa"/>
            <w:gridSpan w:val="12"/>
            <w:shd w:val="clear" w:color="auto" w:fill="B8CCE4" w:themeFill="accent1" w:themeFillTint="66"/>
            <w:vAlign w:val="center"/>
          </w:tcPr>
          <w:p w:rsidR="004C4104" w:rsidRPr="008E1E64" w:rsidRDefault="004C4104" w:rsidP="003D2928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  <w:r w:rsidRPr="003D292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АНТИКОРУПЦИОНЕН ПЛАН</w:t>
            </w:r>
            <w:r w:rsidR="008E1E64">
              <w:rPr>
                <w:rFonts w:ascii="Times New Roman" w:eastAsia="Times New Roman" w:hAnsi="Times New Roman" w:cs="Times New Roman"/>
                <w:b/>
                <w:bCs/>
                <w:lang w:val="en-US" w:eastAsia="bg-BG" w:bidi="bg-BG"/>
              </w:rPr>
              <w:t xml:space="preserve"> </w:t>
            </w:r>
            <w:r w:rsidR="00A419AA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- </w:t>
            </w:r>
            <w:r w:rsidR="008E1E64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отчет 2018 г.</w:t>
            </w:r>
          </w:p>
          <w:p w:rsidR="004C4104" w:rsidRPr="003D2928" w:rsidRDefault="004C4104" w:rsidP="003D2928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</w:p>
        </w:tc>
      </w:tr>
      <w:tr w:rsidR="004C4104" w:rsidRPr="00EB2358" w:rsidTr="00CA17C2">
        <w:tc>
          <w:tcPr>
            <w:tcW w:w="15735" w:type="dxa"/>
            <w:gridSpan w:val="12"/>
            <w:shd w:val="clear" w:color="auto" w:fill="B8CCE4" w:themeFill="accent1" w:themeFillTint="66"/>
          </w:tcPr>
          <w:p w:rsidR="004C4104" w:rsidRPr="00EB2358" w:rsidRDefault="004C4104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lang w:eastAsia="bg-BG" w:bidi="bg-BG"/>
              </w:rPr>
              <w:t>Заместник-министър на регионалното развитие и благоустройството, който е отговорен за координацията на антикорупционните мерки – г-н Валентин Йовев</w:t>
            </w:r>
          </w:p>
          <w:p w:rsidR="004C4104" w:rsidRPr="00EB2358" w:rsidRDefault="004C4104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</w:p>
        </w:tc>
      </w:tr>
      <w:tr w:rsidR="004C4104" w:rsidRPr="00EB2358" w:rsidTr="00CA17C2">
        <w:tc>
          <w:tcPr>
            <w:tcW w:w="15735" w:type="dxa"/>
            <w:gridSpan w:val="12"/>
            <w:shd w:val="clear" w:color="auto" w:fill="92D050"/>
          </w:tcPr>
          <w:p w:rsidR="004C4104" w:rsidRPr="00EB2358" w:rsidRDefault="004C4104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Корупционен риск - управление, разпореждане или </w:t>
            </w:r>
            <w:r w:rsidR="00F17725" w:rsidRPr="00F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разходване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на бюджетни средства и активи, вкл. обществени поръчки</w:t>
            </w:r>
          </w:p>
          <w:p w:rsidR="004C4104" w:rsidRPr="00EB2358" w:rsidRDefault="004C4104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4C4104" w:rsidRPr="00EB2358" w:rsidTr="00232F05">
        <w:tc>
          <w:tcPr>
            <w:tcW w:w="3227" w:type="dxa"/>
            <w:shd w:val="clear" w:color="auto" w:fill="FFFFCC"/>
          </w:tcPr>
          <w:p w:rsidR="004C4104" w:rsidRPr="00EB2358" w:rsidRDefault="004C4104" w:rsidP="003D2928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4C4104" w:rsidRPr="00EB2358" w:rsidRDefault="004C4104" w:rsidP="003D2928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4C4104" w:rsidRPr="00EB2358" w:rsidRDefault="004C4104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4C4104" w:rsidRPr="00EB2358" w:rsidRDefault="004C4104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4C4104" w:rsidRDefault="004C4104" w:rsidP="00A7729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  <w:p w:rsidR="00E00553" w:rsidRPr="00E00553" w:rsidRDefault="00E00553" w:rsidP="00A7729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CC"/>
          </w:tcPr>
          <w:p w:rsidR="004C4104" w:rsidRPr="00EB2358" w:rsidRDefault="004C4104" w:rsidP="00BF5DC5">
            <w:pPr>
              <w:pStyle w:val="20"/>
              <w:shd w:val="clear" w:color="auto" w:fill="auto"/>
              <w:spacing w:before="0" w:line="274" w:lineRule="exact"/>
              <w:ind w:left="-74" w:right="-142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Степен на риска</w:t>
            </w:r>
          </w:p>
        </w:tc>
        <w:tc>
          <w:tcPr>
            <w:tcW w:w="2019" w:type="dxa"/>
            <w:shd w:val="clear" w:color="auto" w:fill="FFFFCC"/>
          </w:tcPr>
          <w:p w:rsidR="004C4104" w:rsidRPr="00EB2358" w:rsidRDefault="004C4104" w:rsidP="00A7729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4C4104" w:rsidRPr="00EB2358" w:rsidRDefault="004C4104" w:rsidP="00A7729B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3118" w:type="dxa"/>
            <w:gridSpan w:val="2"/>
            <w:shd w:val="clear" w:color="auto" w:fill="FFFFCC"/>
          </w:tcPr>
          <w:p w:rsidR="004C4104" w:rsidRDefault="00CA17C2" w:rsidP="00A7729B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C4104" w:rsidRPr="00EB2358">
              <w:rPr>
                <w:sz w:val="20"/>
                <w:szCs w:val="20"/>
              </w:rPr>
              <w:t>зпълнение</w:t>
            </w:r>
            <w:r w:rsidR="008E1E64">
              <w:rPr>
                <w:sz w:val="20"/>
                <w:szCs w:val="20"/>
              </w:rPr>
              <w:t>/Неизпълнение и причини</w:t>
            </w:r>
          </w:p>
          <w:p w:rsidR="007025B4" w:rsidRDefault="007025B4" w:rsidP="00A7729B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  <w:p w:rsidR="006B387E" w:rsidRPr="006B387E" w:rsidRDefault="006B387E" w:rsidP="00A7729B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4104" w:rsidRPr="00EB2358" w:rsidTr="00232F05">
        <w:tc>
          <w:tcPr>
            <w:tcW w:w="3227" w:type="dxa"/>
          </w:tcPr>
          <w:p w:rsidR="004C4104" w:rsidRPr="00EB2358" w:rsidRDefault="004C4104" w:rsidP="004C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Неутрализиране на риска от допускане на грешки/неправомерни действия при извършване на разплащания чрез изпълнение на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осъществяване на предварителен контрол за законосъобразност от финансов контрольор преди поемане на задължения/извършване на разходи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процедиране на електронни бюджетни платежни нареждания чрез системата за интернет банкиране на БНБ с прилагане на система за двоен подпис и финално одобрение на инициираните плащания от Ръководител на Управляващия орган (РУО)</w:t>
            </w:r>
          </w:p>
        </w:tc>
        <w:tc>
          <w:tcPr>
            <w:tcW w:w="1701" w:type="dxa"/>
            <w:gridSpan w:val="2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 w:rsidR="00CC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4C4104" w:rsidRPr="00EB2358" w:rsidRDefault="004C4104" w:rsidP="00E6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на система за извършване на разплащания, защитена от допускане на грешки, неправомерни действия или корупционни практики;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законосъобразността на всички поети разходи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на информационна обезпеченост и проследимост на извършените разплащания</w:t>
            </w:r>
          </w:p>
        </w:tc>
        <w:tc>
          <w:tcPr>
            <w:tcW w:w="1418" w:type="dxa"/>
            <w:gridSpan w:val="2"/>
          </w:tcPr>
          <w:p w:rsidR="004C4104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4C4104" w:rsidRDefault="004C4104" w:rsidP="00A772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82631" w:rsidRPr="00482631" w:rsidRDefault="00482631" w:rsidP="00A772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Осъществени разплащания чрез надеждна електронна система с ясно разделение на функциите и проследимост на извършените операции </w:t>
            </w:r>
          </w:p>
        </w:tc>
        <w:tc>
          <w:tcPr>
            <w:tcW w:w="709" w:type="dxa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Висок</w:t>
            </w:r>
          </w:p>
        </w:tc>
        <w:tc>
          <w:tcPr>
            <w:tcW w:w="2019" w:type="dxa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Главен директор, зам. главен директор и началници отдели в Главна дирекция „Стратегическо  план</w:t>
            </w:r>
            <w:r w:rsidR="00E52AA7">
              <w:rPr>
                <w:rFonts w:ascii="Times New Roman" w:hAnsi="Times New Roman" w:cs="Times New Roman"/>
                <w:sz w:val="18"/>
                <w:szCs w:val="18"/>
              </w:rPr>
              <w:t>иране и програми за регионално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развитие“ (ГД </w:t>
            </w:r>
            <w:r w:rsidR="00523CD2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СППРР") 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</w:p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558B0" w:rsidRDefault="004558B0" w:rsidP="009D732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 постоянно.</w:t>
            </w:r>
          </w:p>
          <w:p w:rsidR="00C852FB" w:rsidRPr="009D7321" w:rsidRDefault="00C852FB" w:rsidP="009D732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Управляващият орган извършва предвидените в СЕБРА функции за второстепенен оторизиран разпоредител за залагане на лимити на подчинени </w:t>
            </w:r>
            <w:proofErr w:type="spellStart"/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десетразрядни</w:t>
            </w:r>
            <w:proofErr w:type="spellEnd"/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кодове, при спазване на правилата и процедурите за управление на средства от Европейските структурни и инвестиционни фондове.</w:t>
            </w:r>
            <w:r w:rsidR="00712D6C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Управляващият орган гарантира, че бенефициентите получават общата сума на финансовата подкрепа от програмата в сроковете, установени със ЗУСЕСИФ, в пълнота и в съответствие с чл. 60, ал. 4 от ЗУСЕСИФ. </w:t>
            </w:r>
          </w:p>
          <w:p w:rsidR="004C4104" w:rsidRPr="00EB2358" w:rsidRDefault="00C852FB" w:rsidP="009D732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Управлението на средствата по сметките на Управляващия орган се извършва чрез прилагането на системата за двоен подпис, изискваща подпис на ръководителя на Управляващия орган и подпис на служител на ръководна длъжност, отговорен за финансовата отчетност.</w:t>
            </w:r>
            <w:r w:rsidR="00712D6C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4C4104" w:rsidRPr="00EB2358" w:rsidTr="00232F05">
        <w:tc>
          <w:tcPr>
            <w:tcW w:w="3227" w:type="dxa"/>
          </w:tcPr>
          <w:p w:rsidR="004C4104" w:rsidRPr="00EB2358" w:rsidRDefault="004C4104" w:rsidP="000B7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пълна прозрачност и проследимост на извършените стопански операции чрез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осигуряване на адекватна </w:t>
            </w:r>
            <w:proofErr w:type="spellStart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одитна</w:t>
            </w:r>
            <w:proofErr w:type="spellEnd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следа и документална обезпеченост на извършените операции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поддръжка на цялата релевантна информация за стопанските операции в електронни системи с непрекъсната проверка за съот</w:t>
            </w:r>
            <w:r w:rsidR="00EE4B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етствие на данните в кореспондиращите модули на системата за интернет банкиране,  САП и ИСУН 2020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издаване на контролни лист</w:t>
            </w:r>
            <w:r w:rsidR="000B7E79"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по одобрен от РУО макет при осъществяване на взаимно допълващи се проверки от експерти, отговорни за процедирането на разплащанията и за обезпечаването на счетоводната отчетност при осъществяване контрол от началник</w:t>
            </w:r>
            <w:r w:rsidR="000B7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сектор и одобрение от РУО </w:t>
            </w:r>
          </w:p>
        </w:tc>
        <w:tc>
          <w:tcPr>
            <w:tcW w:w="1701" w:type="dxa"/>
            <w:gridSpan w:val="2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 w:rsidR="00CC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Осигурена система за пълно и точно представяне на стопанските операции,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както в рамките на ГД "СППРР", така и пред релевантните национални институции (</w:t>
            </w:r>
            <w:proofErr w:type="spellStart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Одитен</w:t>
            </w:r>
            <w:proofErr w:type="spellEnd"/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орган, Сертифициращ орган, Сметна палата, АФКОС) и структурите на ЕС (ЕК, ОЛАФ, Европейска сметна палата)</w:t>
            </w:r>
          </w:p>
        </w:tc>
        <w:tc>
          <w:tcPr>
            <w:tcW w:w="1418" w:type="dxa"/>
            <w:gridSpan w:val="2"/>
          </w:tcPr>
          <w:p w:rsidR="004C4104" w:rsidRDefault="004C4104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  <w:p w:rsidR="004C4104" w:rsidRPr="00EB2358" w:rsidRDefault="004C4104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Въведени и функциониращи информационни системи,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представящи вярна, пълна и проследима информация</w:t>
            </w:r>
          </w:p>
        </w:tc>
        <w:tc>
          <w:tcPr>
            <w:tcW w:w="709" w:type="dxa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Висок</w:t>
            </w:r>
          </w:p>
        </w:tc>
        <w:tc>
          <w:tcPr>
            <w:tcW w:w="2019" w:type="dxa"/>
          </w:tcPr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директор, зам. главен директор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отдели в ГД "СППРР"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BA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 xml:space="preserve"> МРРБ</w:t>
            </w:r>
          </w:p>
          <w:p w:rsidR="004C4104" w:rsidRPr="00EB2358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C4104" w:rsidRPr="008B3725" w:rsidRDefault="008B3725" w:rsidP="004558B0">
            <w:pPr>
              <w:widowControl w:val="0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Мярката се изпълнява</w:t>
            </w:r>
            <w:r w:rsidR="004558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  <w:r w:rsidR="00C852FB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Функционирането и контрола върху счетоводната система се потвърждава с контролни листове и форми.</w:t>
            </w:r>
            <w:r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="00C852FB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Транзакциите се записват и нанасят едновременно по двустранния и по аналитичния метод</w:t>
            </w:r>
            <w:r w:rsidR="009D7321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="009D7321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</w:t>
            </w:r>
            <w:r w:rsidR="009D7321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="00C852FB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осчетоводяване.</w:t>
            </w:r>
            <w:r w:rsidR="009D7321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="00C852FB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Управляващия орган организира счетоводната отчетност по ОП чрез отчитане на начислена и на касова основа на всички счетоводни събития, произтичащи от финансовото управление на оперативната програма, в </w:t>
            </w:r>
            <w:r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САП</w:t>
            </w:r>
            <w:r w:rsidR="00C852FB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системат</w:t>
            </w:r>
            <w:r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 на Министерство на финансите</w:t>
            </w:r>
            <w:r w:rsidR="00C852FB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  <w:r w:rsidR="00C852FB"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  <w:r w:rsidRPr="00232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 xml:space="preserve"> </w:t>
            </w:r>
          </w:p>
        </w:tc>
      </w:tr>
      <w:tr w:rsidR="004C4104" w:rsidRPr="00EB2358" w:rsidTr="00232F05">
        <w:tc>
          <w:tcPr>
            <w:tcW w:w="3227" w:type="dxa"/>
          </w:tcPr>
          <w:p w:rsidR="00F34054" w:rsidRPr="004C31B1" w:rsidRDefault="004C4104" w:rsidP="00B26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Изпълнение на правила и процедури с цел обезпечаване на ясно и точно счетоводно отразяване на извършваните операции, както следва: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извършване на счетоводните операции от конкретни експерти (счетоводители) и последващо одобрение на същите от началник сектор и РУО;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съответна аналитичност с цел проследимост на извършваните в рамките на ГД "СППРР" стопански операции;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отразяване на счетоводните записвания в счетоводна система САП с конкретни нива на достъп на съответните служители в зависимост от задълженията им, индивидуализирани криптирани профили и осигуряване на ежедневно архивиране на въвежданата информация от IT администратор;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осигуряване на </w:t>
            </w:r>
            <w:r w:rsidR="00EE4B15" w:rsidRPr="004C31B1">
              <w:rPr>
                <w:rFonts w:ascii="Times New Roman" w:hAnsi="Times New Roman" w:cs="Times New Roman"/>
                <w:sz w:val="18"/>
                <w:szCs w:val="18"/>
              </w:rPr>
              <w:t>интерфейс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 xml:space="preserve"> между счетоводна система САП и ИСУН 2020 с цел гарантиране на съответствието и взаимовръзката между генерираните в тях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осигуряване на документална обоснованост на счетоводните операции чрез прилагането на съответни първични документи на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хартиен носител или електронно подписани документи от ИСУН 2020;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извършване на равнение на данни за дългове към ГД "СППРР" по финансови корекции на месечна база между САП, Книга на длъжници, ИСУН 2020 и Регистър нередности, поддържан от отдел "</w:t>
            </w:r>
            <w:r w:rsidR="00B267C6">
              <w:t xml:space="preserve"> </w:t>
            </w:r>
            <w:r w:rsidR="00B267C6" w:rsidRPr="00B267C6">
              <w:rPr>
                <w:rFonts w:ascii="Times New Roman" w:hAnsi="Times New Roman" w:cs="Times New Roman"/>
                <w:sz w:val="18"/>
                <w:szCs w:val="18"/>
              </w:rPr>
              <w:t>Контрол на обществените поръчки и нередности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B267C6">
              <w:rPr>
                <w:rFonts w:ascii="Times New Roman" w:hAnsi="Times New Roman" w:cs="Times New Roman"/>
                <w:sz w:val="18"/>
                <w:szCs w:val="18"/>
              </w:rPr>
              <w:t xml:space="preserve"> (КОПН)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контрол на счетоводния процес от страна на дирекция "Национален фонд" - СО чрез изготвяне и изпращане на месечни и тримесечни отчети за касово изпълнение, оборотна ведомост и допълнително изисквани справки и обобщени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осигуряване на равнение на всяка докладвана от ГД "СППРР" финансова информация със счетоводните регистри, равнение на банковата сметка, месечно равнение на лимитите, равнение на счетоводните записи между </w:t>
            </w:r>
            <w:r w:rsidR="00B267C6">
              <w:rPr>
                <w:rFonts w:ascii="Times New Roman" w:hAnsi="Times New Roman" w:cs="Times New Roman"/>
                <w:sz w:val="18"/>
                <w:szCs w:val="18"/>
              </w:rPr>
              <w:t>Управляващия орган (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 w:rsidR="00B267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 xml:space="preserve"> и СО, месечно и тримесечно равнение между аналитични и синтетични сметки, месечно и тримесечно равнение на изготвения касов отчет</w:t>
            </w:r>
          </w:p>
        </w:tc>
        <w:tc>
          <w:tcPr>
            <w:tcW w:w="1701" w:type="dxa"/>
            <w:gridSpan w:val="2"/>
          </w:tcPr>
          <w:p w:rsidR="004C4104" w:rsidRPr="004C31B1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 w:rsidR="00CC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4C4104" w:rsidRPr="004C31B1" w:rsidRDefault="004C4104" w:rsidP="000B7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Осигурена защитена среда за отразяване на стопанските операции в рамките на ГД "СППРР" и съгласуването им със С</w:t>
            </w:r>
            <w:r w:rsidR="000B7E79">
              <w:rPr>
                <w:rFonts w:ascii="Times New Roman" w:hAnsi="Times New Roman" w:cs="Times New Roman"/>
                <w:sz w:val="18"/>
                <w:szCs w:val="18"/>
              </w:rPr>
              <w:t>ертифициращия орган (СО)</w:t>
            </w:r>
          </w:p>
        </w:tc>
        <w:tc>
          <w:tcPr>
            <w:tcW w:w="1418" w:type="dxa"/>
            <w:gridSpan w:val="2"/>
          </w:tcPr>
          <w:p w:rsidR="004C4104" w:rsidRDefault="004C4104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4C4104" w:rsidRPr="004C31B1" w:rsidRDefault="004C4104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C4104" w:rsidRPr="004C31B1" w:rsidRDefault="004C4104" w:rsidP="00A52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Въведени счетоводни операции, представящи вярна, пълна и проследима информация за извършените стопански операции</w:t>
            </w:r>
          </w:p>
        </w:tc>
        <w:tc>
          <w:tcPr>
            <w:tcW w:w="709" w:type="dxa"/>
          </w:tcPr>
          <w:p w:rsidR="004C4104" w:rsidRPr="004C31B1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Висок</w:t>
            </w:r>
          </w:p>
        </w:tc>
        <w:tc>
          <w:tcPr>
            <w:tcW w:w="2019" w:type="dxa"/>
          </w:tcPr>
          <w:p w:rsidR="004C4104" w:rsidRPr="004C31B1" w:rsidRDefault="004C4104" w:rsidP="004C3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Главен директор, зам. главен директор и началници на отдели в ГД "СППРР"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BA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 xml:space="preserve"> МРРБ</w:t>
            </w:r>
          </w:p>
          <w:p w:rsidR="004C4104" w:rsidRPr="004C31B1" w:rsidRDefault="004C4104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232F05" w:rsidRDefault="00232F05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2639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C852FB" w:rsidRPr="00C852FB" w:rsidRDefault="00232F05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ъществува система за записване и съхранение в компютъризирана форма на счетоводни записи за всяка операция по Оперативна програма „Региони в растеж” (ОПРР) и</w:t>
            </w:r>
            <w:r w:rsidR="00E624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са налични необходимите 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данни за осъществяване на финансовото управление, мониторинга, проверките, одитите и оценката;</w:t>
            </w:r>
          </w:p>
          <w:p w:rsidR="00C852FB" w:rsidRPr="00C852FB" w:rsidRDefault="00E62487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четоводните записвания са своевременно, вярно и точно отразени в счетоводната система и са документално обосновани (налични са първични документи за отчитане на счетоводните операции);</w:t>
            </w:r>
          </w:p>
          <w:p w:rsidR="00E62487" w:rsidRDefault="00E62487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нформацията в счетоводната система е въведена в пълнота и е в съответствие с финансовите параметри по 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ПРР. </w:t>
            </w:r>
          </w:p>
          <w:p w:rsidR="00C852FB" w:rsidRPr="00C852FB" w:rsidRDefault="00E62487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нформацията в счетоводната система се въвежда от служители с възл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ожени функции по осчетоводяване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, които имат задължение да регистрират текущо всички счетоводни събития и факти, произтичащи от финансовото управление на 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ПРР,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 съответствие с приложимото законодателство и реда, описан в указанията на Национален фонд;</w:t>
            </w:r>
          </w:p>
          <w:p w:rsidR="00C852FB" w:rsidRPr="00C852FB" w:rsidRDefault="00E62487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П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ървичните и/или документите с еквивалентна доказателствена стойност се предоставят на съответния служител, отговорен за счетоводния процес, до 5 работни дни след датата на тяхното съставяне/издаване;</w:t>
            </w:r>
          </w:p>
          <w:p w:rsidR="00C852FB" w:rsidRPr="00C852FB" w:rsidRDefault="00E62487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 третия работен ден на месеца, следващ отчетния период, информацията за извършените разходи, получени приходи и предоставените/получени трансфери, както и за получените/усвоени лимити е въведени в пълнота;</w:t>
            </w:r>
          </w:p>
          <w:p w:rsidR="00C852FB" w:rsidRPr="00C852FB" w:rsidRDefault="00E62487" w:rsidP="00232F05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 седмия работен ден на месеца, следващ отчетния период, информацията за всички възникнали счетоводни събития през отчетния период е  въведена в пълнота</w:t>
            </w:r>
          </w:p>
          <w:p w:rsidR="00E62487" w:rsidRDefault="00C852FB" w:rsidP="00E6248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Функционирането и контрола върху счетоводната система се потвърждава с контролни листове и форми, които са описани в съответните процедури.  Транзакциите се записват и нанасят едновременно по двустранния и по аналитичния метод на осчетоводяване. </w:t>
            </w:r>
          </w:p>
          <w:p w:rsidR="004C4104" w:rsidRPr="00EB2358" w:rsidRDefault="00C852FB" w:rsidP="00E6248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Достъпът до системата </w:t>
            </w:r>
            <w:r w:rsidR="00E624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САП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E624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се осъществява чрез потребителско име и парола, като системата дава възможност за различни нива на достъп, в зависимост от функциите, отговорностите и правомощията на потребителите и осигурява защита от достъп на неоторизирани потребители. Парола, станала известна на неоторизирано лице, се сменя незабавно. Отговорност за смяната на парол</w:t>
            </w:r>
            <w:r w:rsidR="00B80D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ата носи съответният потребител</w:t>
            </w:r>
          </w:p>
        </w:tc>
      </w:tr>
      <w:tr w:rsidR="00523CD2" w:rsidRPr="00EB2358" w:rsidTr="00232F05">
        <w:tc>
          <w:tcPr>
            <w:tcW w:w="3227" w:type="dxa"/>
          </w:tcPr>
          <w:p w:rsidR="00523CD2" w:rsidRPr="00523CD2" w:rsidRDefault="00523CD2" w:rsidP="00F159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Публикуване на страниците на програмите за трансгранично сътрудничество по </w:t>
            </w:r>
            <w:r w:rsidR="00810BD7">
              <w:rPr>
                <w:rFonts w:ascii="Times New Roman" w:hAnsi="Times New Roman" w:cs="Times New Roman"/>
                <w:sz w:val="18"/>
                <w:szCs w:val="18"/>
              </w:rPr>
              <w:t>Инструмент за предприсъединителна помощ (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ИПП</w:t>
            </w:r>
            <w:r w:rsidR="00810B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на досиетата за обществени поръчки провеждани</w:t>
            </w:r>
            <w:r w:rsidR="006D4C6E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бенефициенти по програмите</w:t>
            </w:r>
          </w:p>
        </w:tc>
        <w:tc>
          <w:tcPr>
            <w:tcW w:w="1701" w:type="dxa"/>
            <w:gridSpan w:val="2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523CD2" w:rsidRPr="00523CD2" w:rsidRDefault="00523CD2" w:rsidP="0092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процеса, свързан с провеждането на обществени поръчки</w:t>
            </w:r>
          </w:p>
        </w:tc>
        <w:tc>
          <w:tcPr>
            <w:tcW w:w="1418" w:type="dxa"/>
            <w:gridSpan w:val="2"/>
          </w:tcPr>
          <w:p w:rsidR="00523CD2" w:rsidRPr="00523CD2" w:rsidRDefault="00523CD2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.2018-31.12.2018</w:t>
            </w:r>
            <w:r w:rsidR="00546F7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Брой на публикуваните обяви за тръжни процедури</w:t>
            </w:r>
          </w:p>
        </w:tc>
        <w:tc>
          <w:tcPr>
            <w:tcW w:w="709" w:type="dxa"/>
          </w:tcPr>
          <w:p w:rsidR="00523CD2" w:rsidRPr="00523CD2" w:rsidRDefault="00523CD2" w:rsidP="0052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019" w:type="dxa"/>
          </w:tcPr>
          <w:p w:rsid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Управление на  териториалното сътрудничество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(</w:t>
            </w:r>
            <w:r w:rsidR="000E5613">
              <w:rPr>
                <w:rFonts w:ascii="Times New Roman" w:hAnsi="Times New Roman" w:cs="Times New Roman"/>
                <w:sz w:val="18"/>
                <w:szCs w:val="18"/>
              </w:rPr>
              <w:t>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  <w:r w:rsidR="000E561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3CD2" w:rsidRPr="00523CD2" w:rsidRDefault="004E6C5A" w:rsidP="004E6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Експерти</w:t>
            </w:r>
            <w:r w:rsidR="00455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CD2"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„Комуникация и връзки с обществеността“ към </w:t>
            </w:r>
            <w:r w:rsidR="00523CD2" w:rsidRPr="0052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Съвместните секретариати по програмите</w:t>
            </w:r>
          </w:p>
        </w:tc>
        <w:tc>
          <w:tcPr>
            <w:tcW w:w="3118" w:type="dxa"/>
            <w:gridSpan w:val="2"/>
          </w:tcPr>
          <w:p w:rsidR="00BD7D00" w:rsidRDefault="00BD7D00" w:rsidP="004558B0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Мярката е изпълн</w:t>
            </w:r>
            <w:r w:rsidR="004558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а. </w:t>
            </w:r>
          </w:p>
          <w:p w:rsidR="00523CD2" w:rsidRPr="00EB2358" w:rsidRDefault="0085115D" w:rsidP="0085115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През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2018 г.  на интернет страницит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е на програмите са публикувани общо 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7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9307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бр. </w:t>
            </w:r>
            <w:r w:rsidR="00B80D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тръжни процедури</w:t>
            </w:r>
            <w:r w:rsidR="00BD7D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523CD2" w:rsidRPr="00EB2358" w:rsidTr="00232F05">
        <w:tc>
          <w:tcPr>
            <w:tcW w:w="3227" w:type="dxa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Публикуване на страницата на EUFUNDS.BG информация за обществени поръчк</w:t>
            </w:r>
            <w:r w:rsidR="000E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провеждани от бенефициенти по програмите</w:t>
            </w:r>
          </w:p>
        </w:tc>
        <w:tc>
          <w:tcPr>
            <w:tcW w:w="1701" w:type="dxa"/>
            <w:gridSpan w:val="2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публикуване на обществени поръчки</w:t>
            </w:r>
          </w:p>
        </w:tc>
        <w:tc>
          <w:tcPr>
            <w:tcW w:w="1418" w:type="dxa"/>
            <w:gridSpan w:val="2"/>
          </w:tcPr>
          <w:p w:rsidR="00523CD2" w:rsidRPr="00523CD2" w:rsidRDefault="00523CD2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.2018-31.12.2018</w:t>
            </w:r>
            <w:r w:rsidR="00546F7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Брой на публикуваните обяви за тръжни процедури</w:t>
            </w:r>
          </w:p>
        </w:tc>
        <w:tc>
          <w:tcPr>
            <w:tcW w:w="709" w:type="dxa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019" w:type="dxa"/>
          </w:tcPr>
          <w:p w:rsidR="00523CD2" w:rsidRDefault="00523CD2" w:rsidP="0052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„УТС“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  <w:r w:rsidR="000E561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3CD2" w:rsidRPr="00523CD2" w:rsidRDefault="00523CD2" w:rsidP="0052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на 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тдел "Програми ИНТЕРРЕГ"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118" w:type="dxa"/>
            <w:gridSpan w:val="2"/>
          </w:tcPr>
          <w:p w:rsidR="00BD7D00" w:rsidRDefault="00CB7789" w:rsidP="00BD7D00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е изпълнен</w:t>
            </w:r>
            <w:r w:rsidR="00BD7D00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а. </w:t>
            </w:r>
          </w:p>
          <w:p w:rsidR="00523CD2" w:rsidRPr="00EB2358" w:rsidRDefault="00C852FB" w:rsidP="004D3E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интернет страницата на EUFUNDS.BG са публикувани 1</w:t>
            </w:r>
            <w:r w:rsidR="00CB7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90 обяви за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тръжни процедури </w:t>
            </w:r>
            <w:r w:rsidR="00CB77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 </w:t>
            </w:r>
            <w:r w:rsid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програмите</w:t>
            </w:r>
          </w:p>
        </w:tc>
      </w:tr>
      <w:tr w:rsidR="00523CD2" w:rsidRPr="00EB2358" w:rsidTr="00232F05">
        <w:tc>
          <w:tcPr>
            <w:tcW w:w="3227" w:type="dxa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</w:t>
            </w:r>
            <w:r w:rsidR="004D3E80">
              <w:rPr>
                <w:rFonts w:ascii="Times New Roman" w:hAnsi="Times New Roman" w:cs="Times New Roman"/>
                <w:sz w:val="18"/>
                <w:szCs w:val="18"/>
              </w:rPr>
              <w:t xml:space="preserve"> (СКН)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, класирания на кандидатите за отпускане на безвъзмездна финансова помощ, годишните доклади за изпълнени</w:t>
            </w:r>
            <w:r w:rsidR="009D1F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на програмите и др.</w:t>
            </w:r>
          </w:p>
        </w:tc>
        <w:tc>
          <w:tcPr>
            <w:tcW w:w="1701" w:type="dxa"/>
            <w:gridSpan w:val="2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Осигуряване на прозрачност на процеса по оценка и избор на проектни предложения</w:t>
            </w:r>
          </w:p>
        </w:tc>
        <w:tc>
          <w:tcPr>
            <w:tcW w:w="1418" w:type="dxa"/>
            <w:gridSpan w:val="2"/>
          </w:tcPr>
          <w:p w:rsidR="00523CD2" w:rsidRPr="00523CD2" w:rsidRDefault="00523CD2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.2018-31.12.2018</w:t>
            </w:r>
            <w:r w:rsidR="00546F7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Публикувани резултати по покани за набиране на проектни предложения</w:t>
            </w:r>
          </w:p>
        </w:tc>
        <w:tc>
          <w:tcPr>
            <w:tcW w:w="709" w:type="dxa"/>
          </w:tcPr>
          <w:p w:rsidR="00523CD2" w:rsidRPr="00523CD2" w:rsidRDefault="00523CD2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019" w:type="dxa"/>
          </w:tcPr>
          <w:p w:rsidR="00523CD2" w:rsidRDefault="00523CD2" w:rsidP="0052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523CD2" w:rsidRDefault="00523CD2" w:rsidP="0052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„УТС“</w:t>
            </w:r>
            <w:r w:rsidR="00E150C6"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  <w:r w:rsidR="000E561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3CD2" w:rsidRPr="00523CD2" w:rsidRDefault="00523CD2" w:rsidP="00E97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на 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тдел „Програми ИНТЕРРЕГ-ИПП Трансгранично сътрудничество“</w:t>
            </w:r>
            <w:r w:rsidR="000E5613">
              <w:t xml:space="preserve"> </w:t>
            </w:r>
            <w:r w:rsidR="000E5613" w:rsidRPr="000E5613">
              <w:rPr>
                <w:rFonts w:ascii="Times New Roman" w:hAnsi="Times New Roman" w:cs="Times New Roman"/>
                <w:sz w:val="18"/>
                <w:szCs w:val="18"/>
              </w:rPr>
              <w:t>в дирекция „УТС“</w:t>
            </w:r>
            <w:r w:rsidR="000E561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Началник о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тдел "Органи</w:t>
            </w:r>
            <w:r w:rsidR="000E5613">
              <w:rPr>
                <w:rFonts w:ascii="Times New Roman" w:hAnsi="Times New Roman" w:cs="Times New Roman"/>
                <w:sz w:val="18"/>
                <w:szCs w:val="18"/>
              </w:rPr>
              <w:t xml:space="preserve">зационно развитие и публичност" </w:t>
            </w:r>
            <w:r w:rsidR="000E5613" w:rsidRPr="000E5613">
              <w:rPr>
                <w:rFonts w:ascii="Times New Roman" w:hAnsi="Times New Roman" w:cs="Times New Roman"/>
                <w:sz w:val="18"/>
                <w:szCs w:val="18"/>
              </w:rPr>
              <w:t>в дирекция „УТС“</w:t>
            </w:r>
          </w:p>
        </w:tc>
        <w:tc>
          <w:tcPr>
            <w:tcW w:w="3118" w:type="dxa"/>
            <w:gridSpan w:val="2"/>
          </w:tcPr>
          <w:p w:rsidR="00145EDD" w:rsidRDefault="00145EDD" w:rsidP="00145ED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е изпълн</w:t>
            </w:r>
            <w:r w:rsid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а. </w:t>
            </w:r>
          </w:p>
          <w:p w:rsidR="00523CD2" w:rsidRPr="00EB2358" w:rsidRDefault="004D3E80" w:rsidP="004D3E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През 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2018</w:t>
            </w:r>
            <w:r w:rsidR="00145E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г. на интернет страницит</w:t>
            </w:r>
            <w:r w:rsid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на програмите са публикувани: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33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решения на 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КН</w:t>
            </w:r>
            <w:r w:rsid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;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класирания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 първ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покан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, както и </w:t>
            </w:r>
            <w:r w:rsid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одишни</w:t>
            </w:r>
            <w:r w:rsidR="00C852FB"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доклади за изпълнение на програмите</w:t>
            </w:r>
          </w:p>
        </w:tc>
      </w:tr>
      <w:tr w:rsidR="00523CD2" w:rsidRPr="00EB2358" w:rsidTr="00232F05">
        <w:tc>
          <w:tcPr>
            <w:tcW w:w="3227" w:type="dxa"/>
          </w:tcPr>
          <w:p w:rsidR="00523CD2" w:rsidRPr="004D3E80" w:rsidRDefault="00DC0FDD" w:rsidP="00DC0FDD"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Актуализиране и утвърждаване на вътрешни</w:t>
            </w:r>
            <w:r w:rsidR="001F4963" w:rsidRPr="004D3E80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за прилагане на Закона за обществените поръчки </w:t>
            </w:r>
            <w:r w:rsidR="00BF1B80" w:rsidRPr="004D3E80">
              <w:rPr>
                <w:rFonts w:ascii="Times New Roman" w:hAnsi="Times New Roman" w:cs="Times New Roman"/>
                <w:sz w:val="18"/>
                <w:szCs w:val="18"/>
              </w:rPr>
              <w:t xml:space="preserve">(ЗОП) </w:t>
            </w:r>
            <w:r w:rsidR="001F4963" w:rsidRPr="004D3E80">
              <w:rPr>
                <w:rFonts w:ascii="Times New Roman" w:hAnsi="Times New Roman" w:cs="Times New Roman"/>
                <w:sz w:val="18"/>
                <w:szCs w:val="18"/>
              </w:rPr>
              <w:t>с оглед гарантиране ограничаването на корупционните практики при провеждане на процедурите</w:t>
            </w:r>
          </w:p>
        </w:tc>
        <w:tc>
          <w:tcPr>
            <w:tcW w:w="1701" w:type="dxa"/>
            <w:gridSpan w:val="2"/>
          </w:tcPr>
          <w:p w:rsidR="00523CD2" w:rsidRPr="004D3E80" w:rsidRDefault="001F4963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523CD2" w:rsidRPr="004D3E80" w:rsidRDefault="001F4963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Създаване на организация за намаляване намесата на човешкия фактор и възможността за субективно решение при възлагане на обществените поръчки чрез осъществяване на съгласуване от различни експерти на целия процес.</w:t>
            </w:r>
          </w:p>
        </w:tc>
        <w:tc>
          <w:tcPr>
            <w:tcW w:w="1418" w:type="dxa"/>
            <w:gridSpan w:val="2"/>
          </w:tcPr>
          <w:p w:rsidR="00523CD2" w:rsidRPr="004D3E80" w:rsidRDefault="001F4963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30.06.2018 г.</w:t>
            </w:r>
          </w:p>
        </w:tc>
        <w:tc>
          <w:tcPr>
            <w:tcW w:w="1559" w:type="dxa"/>
            <w:gridSpan w:val="2"/>
          </w:tcPr>
          <w:p w:rsidR="00523CD2" w:rsidRPr="004D3E80" w:rsidRDefault="00DC0FDD" w:rsidP="00DC0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Брой постъпили жалби до Комисията за защита на конкуренцията (КЗК) и брой решения в полза на МРРБ</w:t>
            </w:r>
          </w:p>
        </w:tc>
        <w:tc>
          <w:tcPr>
            <w:tcW w:w="709" w:type="dxa"/>
          </w:tcPr>
          <w:p w:rsidR="00523CD2" w:rsidRPr="004D3E80" w:rsidRDefault="001F4963" w:rsidP="00331DFA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Среден</w:t>
            </w:r>
          </w:p>
        </w:tc>
        <w:tc>
          <w:tcPr>
            <w:tcW w:w="2019" w:type="dxa"/>
          </w:tcPr>
          <w:p w:rsidR="001F4963" w:rsidRPr="004D3E80" w:rsidRDefault="001F4963" w:rsidP="001F4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1F4963" w:rsidRPr="004D3E80" w:rsidRDefault="001F4963" w:rsidP="001F4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„Обществени поръчки“</w:t>
            </w:r>
            <w:r w:rsidR="00E150C6" w:rsidRPr="004D3E80"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3CD2" w:rsidRPr="004D3E80" w:rsidRDefault="001F4963" w:rsidP="001F4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Началник отдел „Контрол по законосъобразност на обществени поръчки“;  Началник отдел „Планиране и провеждане на обществени поръчки“</w:t>
            </w:r>
          </w:p>
        </w:tc>
        <w:tc>
          <w:tcPr>
            <w:tcW w:w="3118" w:type="dxa"/>
            <w:gridSpan w:val="2"/>
          </w:tcPr>
          <w:p w:rsidR="000E51B4" w:rsidRPr="004D3E80" w:rsidRDefault="000E51B4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е изпълнена. </w:t>
            </w:r>
          </w:p>
          <w:p w:rsidR="00523CD2" w:rsidRPr="004D3E80" w:rsidRDefault="000E51B4" w:rsidP="0042764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Със Заповед на министъра № РД-02-14-926/19.09.2018 г. са утвърдени нови Вътрешни правила за управление на цикъла на обществените поръчки в МРРБ</w:t>
            </w:r>
          </w:p>
        </w:tc>
      </w:tr>
      <w:tr w:rsidR="00B61AA1" w:rsidRPr="00EB2358" w:rsidTr="00232F05">
        <w:tc>
          <w:tcPr>
            <w:tcW w:w="3227" w:type="dxa"/>
          </w:tcPr>
          <w:p w:rsidR="00B61AA1" w:rsidRPr="004D3E80" w:rsidRDefault="00B61AA1" w:rsidP="00446C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Упражняване на предварителен контрол по процедури на ЗОП, оценка на риска, администриране на нередности по европейски програми  с бенефициент </w:t>
            </w:r>
            <w:r w:rsidR="00F86A1E" w:rsidRPr="004D3E80">
              <w:rPr>
                <w:rFonts w:ascii="Times New Roman" w:eastAsia="Times New Roman" w:hAnsi="Times New Roman" w:cs="Times New Roman"/>
                <w:sz w:val="18"/>
                <w:szCs w:val="18"/>
              </w:rPr>
              <w:t>Агенция „Пътна инфраструктура“</w:t>
            </w:r>
            <w:r w:rsidRPr="004D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текущ контрол по изпълнение на сключените </w:t>
            </w:r>
            <w:r w:rsidR="00360529" w:rsidRPr="004D3E80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D3E80">
              <w:rPr>
                <w:rFonts w:ascii="Times New Roman" w:eastAsia="Times New Roman" w:hAnsi="Times New Roman" w:cs="Times New Roman"/>
                <w:sz w:val="18"/>
                <w:szCs w:val="18"/>
              </w:rPr>
              <w:t>оговори с възложител агенцията</w:t>
            </w:r>
          </w:p>
          <w:p w:rsidR="00B61AA1" w:rsidRPr="0010263B" w:rsidRDefault="00B61AA1" w:rsidP="00446C54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61AA1" w:rsidRPr="004D3E80" w:rsidRDefault="00B61AA1" w:rsidP="00446C5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D3E80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B61AA1" w:rsidRPr="004D3E80" w:rsidRDefault="00B61AA1" w:rsidP="00B61AA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D3E80">
              <w:rPr>
                <w:rFonts w:ascii="Times New Roman" w:hAnsi="Times New Roman" w:cs="Times New Roman"/>
                <w:sz w:val="18"/>
                <w:szCs w:val="18"/>
              </w:rPr>
              <w:t>Законосъобразност на провежданите процедури и подписваните договори по ЗОП. Недопускане на неправомерни плащания и манипулиране на процедурите</w:t>
            </w:r>
          </w:p>
        </w:tc>
        <w:tc>
          <w:tcPr>
            <w:tcW w:w="1418" w:type="dxa"/>
            <w:gridSpan w:val="2"/>
          </w:tcPr>
          <w:p w:rsidR="00B61AA1" w:rsidRPr="004D3E80" w:rsidRDefault="00B61AA1" w:rsidP="0036052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D3E80">
              <w:rPr>
                <w:sz w:val="18"/>
                <w:szCs w:val="18"/>
              </w:rPr>
              <w:t>01.</w:t>
            </w:r>
            <w:proofErr w:type="spellStart"/>
            <w:r w:rsidRPr="004D3E80">
              <w:rPr>
                <w:sz w:val="18"/>
                <w:szCs w:val="18"/>
              </w:rPr>
              <w:t>01</w:t>
            </w:r>
            <w:proofErr w:type="spellEnd"/>
            <w:r w:rsidRPr="004D3E80">
              <w:rPr>
                <w:sz w:val="18"/>
                <w:szCs w:val="18"/>
              </w:rPr>
              <w:t>.2018-31.12.2018</w:t>
            </w:r>
            <w:r w:rsidR="00546F76" w:rsidRPr="004D3E8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B61AA1" w:rsidRPr="004D3E80" w:rsidRDefault="00B61AA1" w:rsidP="000D3044">
            <w:pPr>
              <w:pStyle w:val="20"/>
              <w:shd w:val="clear" w:color="auto" w:fill="auto"/>
              <w:spacing w:before="0" w:line="240" w:lineRule="auto"/>
              <w:ind w:right="-142"/>
              <w:jc w:val="left"/>
              <w:rPr>
                <w:sz w:val="18"/>
                <w:szCs w:val="18"/>
              </w:rPr>
            </w:pPr>
            <w:r w:rsidRPr="004D3E80">
              <w:rPr>
                <w:sz w:val="18"/>
                <w:szCs w:val="18"/>
              </w:rPr>
              <w:t>Брой издадени контролни лист</w:t>
            </w:r>
            <w:r w:rsidR="00BF1B80" w:rsidRPr="004D3E80">
              <w:rPr>
                <w:sz w:val="18"/>
                <w:szCs w:val="18"/>
              </w:rPr>
              <w:t>ове</w:t>
            </w:r>
            <w:r w:rsidRPr="004D3E80">
              <w:rPr>
                <w:sz w:val="18"/>
                <w:szCs w:val="18"/>
              </w:rPr>
              <w:t xml:space="preserve">, чрез които се удостоверява законосъобразност на процедурата по ЗОП или съответствие при отчетените резултати и действителните резултати в сертификати за плащане за извършена </w:t>
            </w:r>
            <w:r w:rsidRPr="004D3E80">
              <w:rPr>
                <w:sz w:val="18"/>
                <w:szCs w:val="18"/>
              </w:rPr>
              <w:lastRenderedPageBreak/>
              <w:t>дейност по договор</w:t>
            </w:r>
          </w:p>
        </w:tc>
        <w:tc>
          <w:tcPr>
            <w:tcW w:w="709" w:type="dxa"/>
            <w:shd w:val="clear" w:color="auto" w:fill="FFFFFF" w:themeFill="background1"/>
          </w:tcPr>
          <w:p w:rsidR="00B61AA1" w:rsidRPr="004D3E80" w:rsidRDefault="00FE714C" w:rsidP="00446C5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D3E80">
              <w:rPr>
                <w:sz w:val="18"/>
                <w:szCs w:val="18"/>
              </w:rPr>
              <w:lastRenderedPageBreak/>
              <w:t>Нисък</w:t>
            </w:r>
          </w:p>
        </w:tc>
        <w:tc>
          <w:tcPr>
            <w:tcW w:w="2019" w:type="dxa"/>
          </w:tcPr>
          <w:p w:rsidR="00B61AA1" w:rsidRPr="004D3E80" w:rsidRDefault="00B61AA1" w:rsidP="00B61AA1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D3E80">
              <w:rPr>
                <w:sz w:val="18"/>
                <w:szCs w:val="18"/>
              </w:rPr>
              <w:t>Председател на У</w:t>
            </w:r>
            <w:r w:rsidR="00F86A1E" w:rsidRPr="004D3E80">
              <w:rPr>
                <w:sz w:val="18"/>
                <w:szCs w:val="18"/>
              </w:rPr>
              <w:t>правителния съвет</w:t>
            </w:r>
            <w:r w:rsidRPr="004D3E80">
              <w:rPr>
                <w:sz w:val="18"/>
                <w:szCs w:val="18"/>
              </w:rPr>
              <w:t xml:space="preserve"> на </w:t>
            </w:r>
            <w:r w:rsidR="00F86A1E" w:rsidRPr="004D3E80">
              <w:rPr>
                <w:sz w:val="18"/>
                <w:szCs w:val="18"/>
              </w:rPr>
              <w:t>Агенция „Пътна инфраструктура“ (АПИ)</w:t>
            </w:r>
            <w:r w:rsidRPr="004D3E80">
              <w:rPr>
                <w:sz w:val="18"/>
                <w:szCs w:val="18"/>
              </w:rPr>
              <w:t xml:space="preserve">; </w:t>
            </w:r>
          </w:p>
          <w:p w:rsidR="00F86A1E" w:rsidRPr="004D3E80" w:rsidRDefault="00B61AA1" w:rsidP="00F86A1E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D3E80">
              <w:rPr>
                <w:sz w:val="18"/>
                <w:szCs w:val="18"/>
              </w:rPr>
              <w:t xml:space="preserve">Директор на дирекция „Обществени поръчки и правно обслужване“ (ОППО)  </w:t>
            </w:r>
          </w:p>
          <w:p w:rsidR="00B61AA1" w:rsidRPr="004D3E80" w:rsidRDefault="00F86A1E" w:rsidP="00F86A1E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D3E80">
              <w:rPr>
                <w:sz w:val="18"/>
                <w:szCs w:val="18"/>
              </w:rPr>
              <w:t xml:space="preserve">Директор на дирекция </w:t>
            </w:r>
            <w:r w:rsidR="00B61AA1" w:rsidRPr="004D3E80">
              <w:rPr>
                <w:sz w:val="18"/>
                <w:szCs w:val="18"/>
              </w:rPr>
              <w:t>„Анализ на риска и оперативен контрол“ (АРОК)</w:t>
            </w:r>
          </w:p>
        </w:tc>
        <w:tc>
          <w:tcPr>
            <w:tcW w:w="3118" w:type="dxa"/>
            <w:gridSpan w:val="2"/>
          </w:tcPr>
          <w:p w:rsidR="00145EDD" w:rsidRPr="004D3E80" w:rsidRDefault="00145EDD" w:rsidP="00145EDD">
            <w:pPr>
              <w:widowControl w:val="0"/>
              <w:ind w:lef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10263B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</w:t>
            </w:r>
            <w:r w:rsidR="0010263B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не</w:t>
            </w: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на. </w:t>
            </w:r>
          </w:p>
          <w:p w:rsidR="000D3044" w:rsidRPr="004D3E80" w:rsidRDefault="008D2B45" w:rsidP="00CE5271">
            <w:pPr>
              <w:widowControl w:val="0"/>
              <w:ind w:left="-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През първото шестмесечие общия</w:t>
            </w:r>
            <w:r w:rsid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брой на контролните листове</w:t>
            </w:r>
            <w:r w:rsidR="004276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от извършени</w:t>
            </w:r>
            <w:r w:rsidR="000D3044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проверки на процедури по</w:t>
            </w: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ЗОП – </w:t>
            </w:r>
            <w:r w:rsidR="00CD65F7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>868</w:t>
            </w: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бр.</w:t>
            </w:r>
            <w:r w:rsidR="000D3044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;</w:t>
            </w: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B61AA1" w:rsidRPr="004D3E80" w:rsidRDefault="000D3044" w:rsidP="00CE5271">
            <w:pPr>
              <w:widowControl w:val="0"/>
              <w:ind w:left="-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</w:pP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Извършена в</w:t>
            </w:r>
            <w:r w:rsidR="008D2B45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ерифи</w:t>
            </w:r>
            <w:r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кация на </w:t>
            </w:r>
            <w:r w:rsidR="008D2B45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Сертификати за плащане на изпълнители по договори – </w:t>
            </w:r>
            <w:r w:rsidR="00CD65F7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  <w:t>1364</w:t>
            </w:r>
            <w:r w:rsidR="008D2B45" w:rsidRPr="004D3E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бр.</w:t>
            </w:r>
          </w:p>
          <w:p w:rsidR="00CD65F7" w:rsidRPr="004D3E80" w:rsidRDefault="00CD65F7" w:rsidP="00CD65F7">
            <w:pPr>
              <w:widowControl w:val="0"/>
              <w:ind w:left="-7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</w:pPr>
          </w:p>
        </w:tc>
      </w:tr>
      <w:tr w:rsidR="00B61AA1" w:rsidRPr="00EB2358" w:rsidTr="00CA17C2">
        <w:tc>
          <w:tcPr>
            <w:tcW w:w="15735" w:type="dxa"/>
            <w:gridSpan w:val="12"/>
            <w:shd w:val="clear" w:color="auto" w:fill="92D050"/>
          </w:tcPr>
          <w:p w:rsidR="00B61AA1" w:rsidRDefault="00B61AA1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F3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Корупционен риск - извършване на контролни дейности</w:t>
            </w:r>
          </w:p>
          <w:p w:rsidR="009E4879" w:rsidRPr="00F34054" w:rsidRDefault="009E4879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3227" w:type="dxa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709" w:type="dxa"/>
            <w:shd w:val="clear" w:color="auto" w:fill="FFFFCC"/>
          </w:tcPr>
          <w:p w:rsidR="00861250" w:rsidRPr="00EB2358" w:rsidRDefault="00861250" w:rsidP="00BF5DC5">
            <w:pPr>
              <w:pStyle w:val="20"/>
              <w:shd w:val="clear" w:color="auto" w:fill="auto"/>
              <w:spacing w:before="0" w:line="274" w:lineRule="exact"/>
              <w:ind w:left="-74" w:right="-142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Степен на риска</w:t>
            </w:r>
          </w:p>
        </w:tc>
        <w:tc>
          <w:tcPr>
            <w:tcW w:w="2127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861250" w:rsidRPr="00EB2358" w:rsidRDefault="00861250" w:rsidP="00A7729B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3010" w:type="dxa"/>
            <w:shd w:val="clear" w:color="auto" w:fill="FFFFCC"/>
          </w:tcPr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2018 г./И</w:t>
            </w:r>
            <w:r w:rsidRPr="00EB2358">
              <w:rPr>
                <w:sz w:val="20"/>
                <w:szCs w:val="20"/>
              </w:rPr>
              <w:t>зпълнение</w:t>
            </w:r>
          </w:p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  <w:p w:rsidR="00861250" w:rsidRPr="006B387E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1AA1" w:rsidRPr="00EB2358" w:rsidTr="00CA17C2">
        <w:tc>
          <w:tcPr>
            <w:tcW w:w="3227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Контрола при проверка и одобрение на отчетени разходи по договори за предоставяне на безвъзмездна финансова помощ</w:t>
            </w:r>
          </w:p>
        </w:tc>
        <w:tc>
          <w:tcPr>
            <w:tcW w:w="1701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Осигуряване на независим контрол и недопускане на субективизъм при извършваните проверки </w:t>
            </w:r>
          </w:p>
        </w:tc>
        <w:tc>
          <w:tcPr>
            <w:tcW w:w="1418" w:type="dxa"/>
            <w:gridSpan w:val="2"/>
          </w:tcPr>
          <w:p w:rsidR="00B61AA1" w:rsidRPr="00C93EF2" w:rsidRDefault="00B61AA1" w:rsidP="00B86E3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br/>
              <w:t>първо ниво на контрол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br/>
              <w:t>второ ниво на контрол (законоустановен срок чл.61, ал.1 и чл.62, ал.2 от</w:t>
            </w:r>
            <w:r w:rsidR="00C06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ЗУСЕСИФ</w:t>
            </w:r>
          </w:p>
        </w:tc>
        <w:tc>
          <w:tcPr>
            <w:tcW w:w="1559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Въведено пълно електронно отчитане на разходите по ОПРР 2014-2020 чрез ИСУН 2020, електронна обработка и одобрение на отчетените разходи от нивата на контрол.</w:t>
            </w:r>
          </w:p>
        </w:tc>
        <w:tc>
          <w:tcPr>
            <w:tcW w:w="709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Висок</w:t>
            </w:r>
          </w:p>
        </w:tc>
        <w:tc>
          <w:tcPr>
            <w:tcW w:w="2127" w:type="dxa"/>
            <w:gridSpan w:val="2"/>
          </w:tcPr>
          <w:p w:rsidR="00B61AA1" w:rsidRPr="00C93EF2" w:rsidRDefault="00B61AA1" w:rsidP="00C93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директор, зам. главен директор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  <w:r w:rsidR="00145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:rsidR="00145EDD" w:rsidRDefault="00145EDD" w:rsidP="00145ED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4276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B61AA1" w:rsidRPr="00EB2358" w:rsidRDefault="00C852FB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Контрола при проверка и одобрение на разходите по договори за предоставяне на безвъзмездна финансова помощ се извършва на две нива на контрол - първо ниво на контрол - техническа и финансова проверка, която се извършва от регионалните отдели на ГД СППРР и второ ниво на контрол - техническа и финансова проверка, която се извършва от страна на отдели </w:t>
            </w:r>
            <w:r w:rsidR="00BD7D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Мониторинг</w:t>
            </w:r>
            <w:r w:rsidR="00BD7D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 </w:t>
            </w:r>
            <w:r w:rsidR="00BD7D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Финансово управление и контрол</w:t>
            </w:r>
            <w:r w:rsidR="00BD7D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 Отчитането на разходите от страна на бенефициентите на програмата се извършва електронно чрез системата ИСУН 2020, както и самото одобрение на разходите от страна на двете нива на контрол също се извършва електронно и независимо от участниците в двете нива на контрол.</w:t>
            </w:r>
          </w:p>
        </w:tc>
      </w:tr>
      <w:tr w:rsidR="00B61AA1" w:rsidRPr="00EB2358" w:rsidTr="00CA17C2">
        <w:tc>
          <w:tcPr>
            <w:tcW w:w="3227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</w:p>
        </w:tc>
        <w:tc>
          <w:tcPr>
            <w:tcW w:w="1701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B61AA1" w:rsidRPr="00C93EF2" w:rsidRDefault="00B61AA1" w:rsidP="00C93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Осигуряване на независим контрол и недопускане грешки при подгот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вката на актовете</w:t>
            </w:r>
          </w:p>
        </w:tc>
        <w:tc>
          <w:tcPr>
            <w:tcW w:w="1418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br/>
              <w:t>издадения административен акт се съгласува от началник сектор, началник отдел- изготвил акта, началник отдел КОПН.</w:t>
            </w:r>
          </w:p>
        </w:tc>
        <w:tc>
          <w:tcPr>
            <w:tcW w:w="1559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Въведена електрона кореспонденция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бенефициента чрез ИСУН 2020,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кто и възможност за електронно изпращане и съгласуване на издадени актове чрез деловодната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на МРРБ "</w:t>
            </w:r>
            <w:proofErr w:type="spellStart"/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Акстър</w:t>
            </w:r>
            <w:proofErr w:type="spellEnd"/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 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ис"</w:t>
            </w:r>
          </w:p>
        </w:tc>
        <w:tc>
          <w:tcPr>
            <w:tcW w:w="709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Висок</w:t>
            </w:r>
          </w:p>
        </w:tc>
        <w:tc>
          <w:tcPr>
            <w:tcW w:w="2127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директор, зам. главен директор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:rsidR="00145EDD" w:rsidRDefault="00145EDD" w:rsidP="00145ED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4276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B61AA1" w:rsidRPr="00EB2358" w:rsidRDefault="00C852FB" w:rsidP="00145ED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 оглед засилване контрола при подготовката и издаването на административните актове, свързани с производството по верификация ГД </w:t>
            </w:r>
            <w:r w:rsidR="00145E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СППРР</w:t>
            </w:r>
            <w:r w:rsidR="00145E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въведе съгласуване на актовете от отдел КОПН с цел проверка на правилното рефериране към приложимите разпоредби на съответните нормативни актове (ЗУСЕСИФ, АПК и др. 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приложими). Актовете издадени от ГД </w:t>
            </w:r>
            <w:r w:rsidR="00145E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СППРР</w:t>
            </w:r>
            <w:r w:rsidR="00145E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  <w:r w:rsidRPr="00C852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се подписват от Ръководителя на УО на ОПРР и освен по пощата се изпращат и чрез системата ИСУН 2020.</w:t>
            </w:r>
          </w:p>
        </w:tc>
      </w:tr>
      <w:tr w:rsidR="00B61AA1" w:rsidRPr="00EB2358" w:rsidTr="00CA17C2">
        <w:tc>
          <w:tcPr>
            <w:tcW w:w="3227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бенефициенти на ОПРР 2014-2020 г.</w:t>
            </w:r>
          </w:p>
        </w:tc>
        <w:tc>
          <w:tcPr>
            <w:tcW w:w="1701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</w:tcPr>
          <w:p w:rsidR="00B61AA1" w:rsidRPr="00C93EF2" w:rsidRDefault="00B61AA1" w:rsidP="00C93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отговорностите в рамките на ГД "СППРР".</w:t>
            </w:r>
          </w:p>
        </w:tc>
        <w:tc>
          <w:tcPr>
            <w:tcW w:w="1418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Постоянен срок. Етапите, отговорните лица са описани в НУИОПРР 2014-2020 и Системите за управление и контрол на ОПРР 2014-2020г.</w:t>
            </w:r>
          </w:p>
        </w:tc>
        <w:tc>
          <w:tcPr>
            <w:tcW w:w="1559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Извършване на проверките на отговорните лица във връзка с одобрение на разходите по ОПРР 2014-2020 в ИСУН 2020. </w:t>
            </w:r>
          </w:p>
        </w:tc>
        <w:tc>
          <w:tcPr>
            <w:tcW w:w="709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Висок</w:t>
            </w:r>
          </w:p>
        </w:tc>
        <w:tc>
          <w:tcPr>
            <w:tcW w:w="2127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директор, зам. главен директор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:rsidR="003C191D" w:rsidRDefault="003C191D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BF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B61AA1" w:rsidRPr="00EB2358" w:rsidRDefault="009E057D" w:rsidP="00F55D1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E0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Въведени са контролни листове за верификация и одобрение на искане за плащане от бенефициент, които осигуряват непрескачане на звено при вземане на решение за верифицирана и одобрена сума за плащане. К</w:t>
            </w:r>
            <w:r w:rsidR="00BF7D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онтролният лист</w:t>
            </w:r>
            <w:r w:rsidRPr="009E0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позволява лесно идентифициране на лицата, отговорни за вземане на решението и не се придвижва на следващо ниво, ако липсват проверки и одобрение (подпис) от предходното ниво. Цялата процедура по попълване и сроковете за обработка и придвижване на пакета документи (неразделна част, от който е </w:t>
            </w:r>
            <w:proofErr w:type="spellStart"/>
            <w:r w:rsidR="00F55D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контр</w:t>
            </w:r>
            <w:proofErr w:type="spellEnd"/>
            <w:r w:rsidR="00F55D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.лист</w:t>
            </w:r>
            <w:r w:rsidRPr="009E0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) са разписани в НУИОПРР и системите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 ОПРР 2014-2020</w:t>
            </w:r>
            <w:r w:rsidR="00F55D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B61AA1" w:rsidRPr="00EB2358" w:rsidTr="00CA17C2">
        <w:tc>
          <w:tcPr>
            <w:tcW w:w="3227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Внедряване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софтуерни продукти, които ели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минират въз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можността от манипулации на комп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ютърните системи за отчетност и одобрение на разходите по ОПРР 2014-2020</w:t>
            </w:r>
          </w:p>
        </w:tc>
        <w:tc>
          <w:tcPr>
            <w:tcW w:w="1701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промени в нормативна уредба</w:t>
            </w:r>
          </w:p>
        </w:tc>
        <w:tc>
          <w:tcPr>
            <w:tcW w:w="1984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Осигурява намаляване на административната тежест на бенефициентите и служителите на УО на ОПРР 2014-2020, допускане на грешки при отчитане и проверка на разходите и недопускане манипулация на данни.</w:t>
            </w:r>
          </w:p>
        </w:tc>
        <w:tc>
          <w:tcPr>
            <w:tcW w:w="1418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Постоянен срок. Етапите са описани в НУИОПРР 2014-2020 и Системите за управление и контрол на ОПРР 2014-2020</w:t>
            </w:r>
            <w:r w:rsidR="00241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Изцяло електронно отчитане и одобрение на разходите по ОПРР 2014-2020 чрез ИСУН 2020.</w:t>
            </w:r>
          </w:p>
        </w:tc>
        <w:tc>
          <w:tcPr>
            <w:tcW w:w="709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Висок</w:t>
            </w:r>
          </w:p>
        </w:tc>
        <w:tc>
          <w:tcPr>
            <w:tcW w:w="2127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директор, зам. </w:t>
            </w:r>
            <w:r w:rsidR="00F55D1F" w:rsidRPr="00C93EF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лавен директор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</w:t>
            </w:r>
            <w:r w:rsidR="00F55D1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</w:tcPr>
          <w:p w:rsidR="003C191D" w:rsidRDefault="003C191D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B61AA1" w:rsidRPr="00EB2358" w:rsidRDefault="009E057D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9E0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Въведено е пълно електронно отчитане и одобрение на разходите по ОПРР 2014-2020 г</w:t>
            </w:r>
            <w:r w:rsidR="00F55D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 w:rsidRPr="009E0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, което елиминира възможност за манипулация на данните отчетени от бенефициентите, както и осигурява във всеки един момент бенефициентите да могат да проследят етапите на проверка, извършвани от страна на УО на ОПРР</w:t>
            </w:r>
          </w:p>
        </w:tc>
      </w:tr>
      <w:tr w:rsidR="00B61AA1" w:rsidRPr="00EB2358" w:rsidTr="00CA17C2">
        <w:tc>
          <w:tcPr>
            <w:tcW w:w="3227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Сформиране на група за оценка на риска от измами</w:t>
            </w:r>
          </w:p>
        </w:tc>
        <w:tc>
          <w:tcPr>
            <w:tcW w:w="1701" w:type="dxa"/>
            <w:gridSpan w:val="2"/>
          </w:tcPr>
          <w:p w:rsidR="00B61AA1" w:rsidRPr="00C93EF2" w:rsidRDefault="00B61AA1" w:rsidP="00BD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Разкриване на еве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туални рискове за измама и изготвяне на предложения за внедряване на ефективни и пропорционални мерки за борба с измамите</w:t>
            </w:r>
          </w:p>
        </w:tc>
        <w:tc>
          <w:tcPr>
            <w:tcW w:w="1418" w:type="dxa"/>
            <w:gridSpan w:val="2"/>
          </w:tcPr>
          <w:p w:rsidR="00B61AA1" w:rsidRPr="00C93EF2" w:rsidRDefault="00B61AA1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.2018-31.12.2018</w:t>
            </w:r>
            <w:r w:rsidR="002419E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Резултати от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 изготвени доклади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предприети действия</w:t>
            </w:r>
          </w:p>
        </w:tc>
        <w:tc>
          <w:tcPr>
            <w:tcW w:w="709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Нисък</w:t>
            </w:r>
          </w:p>
        </w:tc>
        <w:tc>
          <w:tcPr>
            <w:tcW w:w="2127" w:type="dxa"/>
            <w:gridSpan w:val="2"/>
          </w:tcPr>
          <w:p w:rsidR="00B61AA1" w:rsidRDefault="00B61AA1" w:rsidP="00AE7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B61AA1" w:rsidRDefault="00B61AA1" w:rsidP="00AE7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„УТС“ в МРРБ;</w:t>
            </w:r>
          </w:p>
          <w:p w:rsidR="00B61AA1" w:rsidRPr="00C93EF2" w:rsidRDefault="00B61AA1" w:rsidP="00AE7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о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"Законодателство и нередности" в д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010" w:type="dxa"/>
          </w:tcPr>
          <w:p w:rsidR="003C191D" w:rsidRDefault="00F55D1F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3C191D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="003C191D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а. </w:t>
            </w:r>
          </w:p>
          <w:p w:rsidR="00B61AA1" w:rsidRPr="00EB2358" w:rsidRDefault="009E057D" w:rsidP="00F55D1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9E05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рез </w:t>
            </w:r>
            <w:r w:rsidR="00F55D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2018 г</w:t>
            </w:r>
            <w:r w:rsidR="009803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 са проведени две заседания на работната група за оценка на риска от измами, при които не е установено завишение на рисковете</w:t>
            </w:r>
          </w:p>
        </w:tc>
      </w:tr>
      <w:tr w:rsidR="00B61AA1" w:rsidRPr="00EB2358" w:rsidTr="00CA17C2">
        <w:tc>
          <w:tcPr>
            <w:tcW w:w="3227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Повишаване на осведомеността на лицата, участващи във верификацията на разходите по проекти по отношение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възможностите и начините за подаване на сигнали за нередности, измама и корупция  </w:t>
            </w:r>
          </w:p>
        </w:tc>
        <w:tc>
          <w:tcPr>
            <w:tcW w:w="1701" w:type="dxa"/>
            <w:gridSpan w:val="2"/>
          </w:tcPr>
          <w:p w:rsidR="00B61AA1" w:rsidRPr="00C93EF2" w:rsidRDefault="00B61AA1" w:rsidP="00BD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Коректно адресирани и мотивирани сигнали за нередности</w:t>
            </w:r>
          </w:p>
        </w:tc>
        <w:tc>
          <w:tcPr>
            <w:tcW w:w="1418" w:type="dxa"/>
            <w:gridSpan w:val="2"/>
          </w:tcPr>
          <w:p w:rsidR="00B61AA1" w:rsidRPr="00C93EF2" w:rsidRDefault="00B61AA1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.2018-31.12.2018</w:t>
            </w:r>
            <w:r w:rsidR="002419E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B61AA1" w:rsidRPr="00C93EF2" w:rsidRDefault="00B61AA1" w:rsidP="00EB4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 обучения, участие в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семинари, индивидуални обучени</w:t>
            </w:r>
            <w:r w:rsidR="00EB4C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 на експерти</w:t>
            </w:r>
          </w:p>
        </w:tc>
        <w:tc>
          <w:tcPr>
            <w:tcW w:w="709" w:type="dxa"/>
          </w:tcPr>
          <w:p w:rsidR="00B61AA1" w:rsidRPr="00C93EF2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Нисък</w:t>
            </w:r>
          </w:p>
        </w:tc>
        <w:tc>
          <w:tcPr>
            <w:tcW w:w="2127" w:type="dxa"/>
            <w:gridSpan w:val="2"/>
          </w:tcPr>
          <w:p w:rsidR="00B61AA1" w:rsidRDefault="00B61AA1" w:rsidP="00AE7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B61AA1" w:rsidRDefault="00B61AA1" w:rsidP="00AE7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„УТС“ в МРРБ;</w:t>
            </w:r>
          </w:p>
          <w:p w:rsidR="00B61AA1" w:rsidRDefault="00B61AA1" w:rsidP="00AE7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отдел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"Законодателство и нередности"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“;</w:t>
            </w:r>
          </w:p>
          <w:p w:rsidR="00B61AA1" w:rsidRPr="00C93EF2" w:rsidRDefault="00B61AA1" w:rsidP="00AE7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Началник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отдел "Организационно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итие и публичност" в д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>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“;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 Съвместни секретариати </w:t>
            </w:r>
          </w:p>
        </w:tc>
        <w:tc>
          <w:tcPr>
            <w:tcW w:w="3010" w:type="dxa"/>
          </w:tcPr>
          <w:p w:rsidR="003C191D" w:rsidRDefault="003726C0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Мярката </w:t>
            </w:r>
            <w:r w:rsidR="003C191D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="003C191D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="003C191D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B61AA1" w:rsidRPr="00EB2358" w:rsidRDefault="00EA64F9" w:rsidP="00EA64F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Проведени са</w:t>
            </w:r>
            <w:r w:rsidR="004268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срещи и информационни дни по поканите за </w:t>
            </w:r>
            <w:r w:rsidR="004268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абиране на проектни предложения със</w:t>
            </w:r>
            <w:r w:rsidR="004268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заинтересованите лица</w:t>
            </w:r>
          </w:p>
        </w:tc>
      </w:tr>
      <w:tr w:rsidR="00B61AA1" w:rsidRPr="00EB2358" w:rsidTr="00CA17C2">
        <w:tc>
          <w:tcPr>
            <w:tcW w:w="3227" w:type="dxa"/>
            <w:shd w:val="clear" w:color="auto" w:fill="FFFFFF" w:themeFill="background1"/>
          </w:tcPr>
          <w:p w:rsidR="00B61AA1" w:rsidRPr="0053031E" w:rsidRDefault="00B61AA1" w:rsidP="00EB4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Провеждане на обучения на максимален брой служители в</w:t>
            </w:r>
            <w:r w:rsidR="0053031E" w:rsidRPr="00530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 xml:space="preserve"> областта на противодействие на корупцията и конфликт на интереси, във връзка с новия Закон за</w:t>
            </w:r>
            <w:r w:rsidR="00EB4C43" w:rsidRPr="0053031E">
              <w:rPr>
                <w:rFonts w:ascii="Times New Roman" w:hAnsi="Times New Roman" w:cs="Times New Roman"/>
                <w:sz w:val="18"/>
                <w:szCs w:val="18"/>
              </w:rPr>
              <w:t xml:space="preserve"> противодействие на корупцията и за отнемане на незаконно придобитото имущество.</w:t>
            </w:r>
          </w:p>
        </w:tc>
        <w:tc>
          <w:tcPr>
            <w:tcW w:w="1701" w:type="dxa"/>
            <w:gridSpan w:val="2"/>
          </w:tcPr>
          <w:p w:rsidR="00B61AA1" w:rsidRPr="0053031E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Организационен/ кадрови</w:t>
            </w:r>
          </w:p>
        </w:tc>
        <w:tc>
          <w:tcPr>
            <w:tcW w:w="1984" w:type="dxa"/>
          </w:tcPr>
          <w:p w:rsidR="00B61AA1" w:rsidRPr="0053031E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Повишаване квалификацията на служителите в областта на противодействие на корупцията и конфликт на интереси</w:t>
            </w:r>
          </w:p>
        </w:tc>
        <w:tc>
          <w:tcPr>
            <w:tcW w:w="1418" w:type="dxa"/>
            <w:gridSpan w:val="2"/>
          </w:tcPr>
          <w:p w:rsidR="00B61AA1" w:rsidRPr="0053031E" w:rsidRDefault="00B61AA1" w:rsidP="0054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.2018-31.12.2018</w:t>
            </w:r>
            <w:r w:rsidR="002419EC" w:rsidRPr="0053031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B61AA1" w:rsidRPr="0053031E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Брой обучени служители</w:t>
            </w:r>
          </w:p>
        </w:tc>
        <w:tc>
          <w:tcPr>
            <w:tcW w:w="709" w:type="dxa"/>
          </w:tcPr>
          <w:p w:rsidR="00B61AA1" w:rsidRPr="0053031E" w:rsidRDefault="00B61AA1" w:rsidP="00B4144E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Нисък/ Среден</w:t>
            </w:r>
          </w:p>
        </w:tc>
        <w:tc>
          <w:tcPr>
            <w:tcW w:w="2127" w:type="dxa"/>
            <w:gridSpan w:val="2"/>
          </w:tcPr>
          <w:p w:rsidR="00B61AA1" w:rsidRPr="0053031E" w:rsidRDefault="00B61AA1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Всички директори на дирекции в МРРБ и ръководителите на второстепенните разпоредители с бюджет към министъра</w:t>
            </w:r>
          </w:p>
        </w:tc>
        <w:tc>
          <w:tcPr>
            <w:tcW w:w="3010" w:type="dxa"/>
          </w:tcPr>
          <w:p w:rsidR="003C191D" w:rsidRPr="0053031E" w:rsidRDefault="003C191D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BB5DB7"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изпълнен</w:t>
            </w: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а. </w:t>
            </w:r>
          </w:p>
          <w:p w:rsidR="00BB5DB7" w:rsidRPr="0053031E" w:rsidRDefault="00BB5DB7" w:rsidP="00BB5D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Темите на проведените обучения пр</w:t>
            </w:r>
            <w:r w:rsidR="00B4144E"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ез </w:t>
            </w: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2018 г. са посочени в раздел „Обучения“ в настоящия антикорупционен план</w:t>
            </w:r>
          </w:p>
          <w:p w:rsidR="00BB5DB7" w:rsidRPr="0053031E" w:rsidRDefault="00BB5DB7" w:rsidP="00BB5D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546F76" w:rsidRPr="00EB2358" w:rsidTr="00CA17C2">
        <w:tc>
          <w:tcPr>
            <w:tcW w:w="3227" w:type="dxa"/>
          </w:tcPr>
          <w:p w:rsidR="00546F76" w:rsidRPr="0053031E" w:rsidRDefault="00546F76" w:rsidP="009F013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53031E">
              <w:rPr>
                <w:sz w:val="18"/>
                <w:szCs w:val="18"/>
              </w:rPr>
              <w:t xml:space="preserve">Сътрудничество с неправителствени организации </w:t>
            </w:r>
            <w:r w:rsidR="00DB5C1F" w:rsidRPr="0053031E">
              <w:rPr>
                <w:sz w:val="18"/>
                <w:szCs w:val="18"/>
              </w:rPr>
              <w:t xml:space="preserve">(НПО) </w:t>
            </w:r>
            <w:r w:rsidRPr="0053031E">
              <w:rPr>
                <w:sz w:val="18"/>
                <w:szCs w:val="18"/>
              </w:rPr>
              <w:t>при осъществяване на мониторинг по процедури на ЗОП и под</w:t>
            </w:r>
            <w:r w:rsidR="009F013E" w:rsidRPr="0053031E">
              <w:rPr>
                <w:sz w:val="18"/>
                <w:szCs w:val="18"/>
              </w:rPr>
              <w:t>писаните д</w:t>
            </w:r>
            <w:r w:rsidRPr="0053031E">
              <w:rPr>
                <w:sz w:val="18"/>
                <w:szCs w:val="18"/>
              </w:rPr>
              <w:t>оговори за изпълнение</w:t>
            </w:r>
          </w:p>
        </w:tc>
        <w:tc>
          <w:tcPr>
            <w:tcW w:w="1701" w:type="dxa"/>
            <w:gridSpan w:val="2"/>
          </w:tcPr>
          <w:p w:rsidR="00546F76" w:rsidRPr="0053031E" w:rsidRDefault="008C2CDC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53031E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546F76" w:rsidRPr="0053031E" w:rsidRDefault="00546F76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53031E">
              <w:rPr>
                <w:sz w:val="18"/>
                <w:szCs w:val="18"/>
              </w:rPr>
              <w:t>Външен мониторинг на гражданското общество и частния бизнес върху дейността на агенцията с цел по-голяма прозрачност в действията на АПИ</w:t>
            </w:r>
          </w:p>
        </w:tc>
        <w:tc>
          <w:tcPr>
            <w:tcW w:w="1418" w:type="dxa"/>
            <w:gridSpan w:val="2"/>
          </w:tcPr>
          <w:p w:rsidR="00546F76" w:rsidRPr="0053031E" w:rsidRDefault="00546F76" w:rsidP="00546F7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031E">
              <w:rPr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546F76" w:rsidRPr="0053031E" w:rsidRDefault="00546F76" w:rsidP="007F226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53031E">
              <w:rPr>
                <w:sz w:val="18"/>
                <w:szCs w:val="18"/>
              </w:rPr>
              <w:t xml:space="preserve">Подписан Пакт </w:t>
            </w:r>
            <w:r w:rsidR="007F2261" w:rsidRPr="0053031E">
              <w:rPr>
                <w:sz w:val="18"/>
                <w:szCs w:val="18"/>
              </w:rPr>
              <w:t>с НПО „Прозрачност без граници“</w:t>
            </w:r>
          </w:p>
        </w:tc>
        <w:tc>
          <w:tcPr>
            <w:tcW w:w="709" w:type="dxa"/>
            <w:shd w:val="clear" w:color="auto" w:fill="FFFFFF" w:themeFill="background1"/>
          </w:tcPr>
          <w:p w:rsidR="00546F76" w:rsidRPr="0053031E" w:rsidRDefault="009E6130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53031E">
              <w:rPr>
                <w:sz w:val="18"/>
                <w:szCs w:val="18"/>
              </w:rPr>
              <w:t>Нисък</w:t>
            </w:r>
          </w:p>
        </w:tc>
        <w:tc>
          <w:tcPr>
            <w:tcW w:w="2127" w:type="dxa"/>
            <w:gridSpan w:val="2"/>
          </w:tcPr>
          <w:p w:rsidR="000A1638" w:rsidRPr="0053031E" w:rsidRDefault="000A1638" w:rsidP="008326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 на УС на АПИ; </w:t>
            </w:r>
          </w:p>
          <w:p w:rsidR="000A1638" w:rsidRPr="0053031E" w:rsidRDefault="00546F76" w:rsidP="008326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F2261" w:rsidRPr="0053031E">
              <w:rPr>
                <w:rFonts w:ascii="Times New Roman" w:hAnsi="Times New Roman" w:cs="Times New Roman"/>
                <w:sz w:val="18"/>
                <w:szCs w:val="18"/>
              </w:rPr>
              <w:t>иректор на д</w:t>
            </w: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ирекци</w:t>
            </w:r>
            <w:r w:rsidR="007F2261" w:rsidRPr="0053031E">
              <w:rPr>
                <w:rFonts w:ascii="Times New Roman" w:hAnsi="Times New Roman" w:cs="Times New Roman"/>
                <w:sz w:val="18"/>
                <w:szCs w:val="18"/>
              </w:rPr>
              <w:t>я „Изпълнение на проекти по оперативна програма „Транспорт и транспортна инфраструктура“ (</w:t>
            </w:r>
            <w:r w:rsidR="00DD7D91" w:rsidRPr="0053031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ПОПТТИ</w:t>
            </w:r>
            <w:r w:rsidR="007F2261" w:rsidRPr="0053031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546F76" w:rsidRPr="0053031E" w:rsidRDefault="007F2261" w:rsidP="008326FF">
            <w:pPr>
              <w:pStyle w:val="NoSpacing"/>
            </w:pP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„Изпълнение на проекти по оперативна програма „Региони в растеж“ и програмите за териториално сътрудничество на ЕС“ (</w:t>
            </w:r>
            <w:r w:rsidR="00546F76" w:rsidRPr="0053031E">
              <w:rPr>
                <w:rFonts w:ascii="Times New Roman" w:hAnsi="Times New Roman" w:cs="Times New Roman"/>
                <w:sz w:val="18"/>
                <w:szCs w:val="18"/>
              </w:rPr>
              <w:t>ИПОПРРПТСЕС</w:t>
            </w:r>
            <w:r w:rsidRPr="005303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3031E">
              <w:t xml:space="preserve"> </w:t>
            </w:r>
            <w:r w:rsidR="00546F76" w:rsidRPr="0053031E">
              <w:t xml:space="preserve"> </w:t>
            </w:r>
          </w:p>
        </w:tc>
        <w:tc>
          <w:tcPr>
            <w:tcW w:w="3010" w:type="dxa"/>
          </w:tcPr>
          <w:p w:rsidR="003C191D" w:rsidRPr="0053031E" w:rsidRDefault="003C191D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53031E"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416063" w:rsidRPr="0053031E" w:rsidRDefault="00416063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Между АПИ и Асоциация „Прозрачност без граници“ е сключен пакт за почтеност към обществената поръчка за изграждане на тунел „Железница“, част от </w:t>
            </w:r>
            <w:proofErr w:type="spellStart"/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Лот</w:t>
            </w:r>
            <w:proofErr w:type="spellEnd"/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3.1. на автомагистрала „Струма“. </w:t>
            </w:r>
          </w:p>
          <w:p w:rsidR="00546F76" w:rsidRPr="0053031E" w:rsidRDefault="00416063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5303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Независимият наблюдател има достъп до всички документи и осъществява мониторинг на процедурата по възлагане на обществената поръчка и нейното съответствие, както с изискванията на действащото законодателство, така и с правилата в сключения пакт. Резултатите от дейността на независимия наблюдател се оповестяват публично и по този начин се осигурява по-голяма прозрачност и контрол при управлението на публични средства.</w:t>
            </w:r>
          </w:p>
        </w:tc>
      </w:tr>
      <w:tr w:rsidR="0065127F" w:rsidRPr="00EB2358" w:rsidTr="00CA17C2">
        <w:tc>
          <w:tcPr>
            <w:tcW w:w="3227" w:type="dxa"/>
          </w:tcPr>
          <w:p w:rsidR="0065127F" w:rsidRPr="00432281" w:rsidRDefault="0065127F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  <w:lang w:val="en-US"/>
              </w:rPr>
            </w:pPr>
            <w:r w:rsidRPr="00432281">
              <w:rPr>
                <w:sz w:val="18"/>
                <w:szCs w:val="18"/>
              </w:rPr>
              <w:t xml:space="preserve">Участие </w:t>
            </w:r>
            <w:r w:rsidR="00527092" w:rsidRPr="00432281">
              <w:rPr>
                <w:sz w:val="18"/>
                <w:szCs w:val="18"/>
              </w:rPr>
              <w:t xml:space="preserve">на служители на АПИ </w:t>
            </w:r>
            <w:r w:rsidRPr="00432281">
              <w:rPr>
                <w:sz w:val="18"/>
                <w:szCs w:val="18"/>
              </w:rPr>
              <w:t>в работни срещи на „Постоянната работна група“ – АФКОС-МВР, съгласно Заповед № 817 600-1395 от 25.11.2016</w:t>
            </w:r>
            <w:r w:rsidR="00527092" w:rsidRPr="00432281">
              <w:rPr>
                <w:sz w:val="18"/>
                <w:szCs w:val="18"/>
              </w:rPr>
              <w:t xml:space="preserve"> </w:t>
            </w:r>
            <w:r w:rsidRPr="00432281">
              <w:rPr>
                <w:sz w:val="18"/>
                <w:szCs w:val="18"/>
              </w:rPr>
              <w:t>г.</w:t>
            </w:r>
            <w:r w:rsidR="005D0F51" w:rsidRPr="00432281">
              <w:rPr>
                <w:sz w:val="18"/>
                <w:szCs w:val="18"/>
              </w:rPr>
              <w:t xml:space="preserve"> на директор дирекция АФКОС-МВР</w:t>
            </w:r>
          </w:p>
        </w:tc>
        <w:tc>
          <w:tcPr>
            <w:tcW w:w="1701" w:type="dxa"/>
            <w:gridSpan w:val="2"/>
          </w:tcPr>
          <w:p w:rsidR="0065127F" w:rsidRPr="00432281" w:rsidRDefault="008C2CDC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Организационен/  кадрови</w:t>
            </w:r>
            <w:r w:rsidR="0065127F" w:rsidRPr="004322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5127F" w:rsidRPr="00432281" w:rsidRDefault="0065127F" w:rsidP="0052709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Недопускане на нередности и измами с наложени финансови корекции, също така  и търсене на персонална отговорност на лицата работещи по проекти на ЕС.</w:t>
            </w:r>
          </w:p>
        </w:tc>
        <w:tc>
          <w:tcPr>
            <w:tcW w:w="1418" w:type="dxa"/>
            <w:gridSpan w:val="2"/>
          </w:tcPr>
          <w:p w:rsidR="0065127F" w:rsidRPr="00432281" w:rsidRDefault="0065127F" w:rsidP="0052709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65127F" w:rsidRPr="00432281" w:rsidRDefault="008C2CDC" w:rsidP="008C2CDC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 xml:space="preserve">Изготвени проекти за изменение на законови и подзаконови нормативни актове; Решени казуси при администриране на нередности по фондове, </w:t>
            </w:r>
            <w:r w:rsidRPr="00432281">
              <w:rPr>
                <w:sz w:val="18"/>
                <w:szCs w:val="18"/>
              </w:rPr>
              <w:lastRenderedPageBreak/>
              <w:t>инструменти и програми, съфинансирани от ЕС</w:t>
            </w:r>
          </w:p>
        </w:tc>
        <w:tc>
          <w:tcPr>
            <w:tcW w:w="709" w:type="dxa"/>
            <w:shd w:val="clear" w:color="auto" w:fill="FFFFFF" w:themeFill="background1"/>
          </w:tcPr>
          <w:p w:rsidR="0065127F" w:rsidRPr="00432281" w:rsidRDefault="009E6130" w:rsidP="005D0F5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lastRenderedPageBreak/>
              <w:t>Нисък</w:t>
            </w:r>
          </w:p>
        </w:tc>
        <w:tc>
          <w:tcPr>
            <w:tcW w:w="2127" w:type="dxa"/>
            <w:gridSpan w:val="2"/>
          </w:tcPr>
          <w:p w:rsidR="0065127F" w:rsidRPr="00432281" w:rsidRDefault="0065127F" w:rsidP="00CA17C2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Председател на УС на АПИ;</w:t>
            </w:r>
          </w:p>
          <w:p w:rsidR="0065127F" w:rsidRPr="00432281" w:rsidRDefault="0065127F" w:rsidP="0065127F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 xml:space="preserve">Директор на дирекция „АРОК“ </w:t>
            </w:r>
          </w:p>
        </w:tc>
        <w:tc>
          <w:tcPr>
            <w:tcW w:w="3010" w:type="dxa"/>
          </w:tcPr>
          <w:p w:rsidR="003C191D" w:rsidRPr="00432281" w:rsidRDefault="003C191D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65127F" w:rsidRPr="00432281" w:rsidRDefault="0091581C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Проведено заседание на „Постоянната работна група“ – АФКОС-МВР за изменение на Наредбата за определяне на процедурите за администриране на нередности по фондове, инструменти и програми, съфинансирани от Европейския съюз, приета с ПМС № 285/</w:t>
            </w:r>
            <w:r w:rsidR="00432281"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30.11.2009 г., изм. и доп. ДВ. бр.</w:t>
            </w:r>
            <w:r w:rsidR="00930754"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24 </w:t>
            </w: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от 16 март 2018 г.</w:t>
            </w:r>
          </w:p>
        </w:tc>
      </w:tr>
      <w:tr w:rsidR="008C2CDC" w:rsidRPr="00EB2358" w:rsidTr="00CA17C2">
        <w:tc>
          <w:tcPr>
            <w:tcW w:w="3227" w:type="dxa"/>
          </w:tcPr>
          <w:p w:rsidR="008C2CDC" w:rsidRPr="00432281" w:rsidRDefault="008C2CDC" w:rsidP="003361A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lastRenderedPageBreak/>
              <w:t xml:space="preserve">Взаимодействие между дирекция „Вътрешен одит“ и дирекция „Анализ на риска и оперативен контрол“ </w:t>
            </w:r>
            <w:r w:rsidR="003361AD" w:rsidRPr="00432281">
              <w:rPr>
                <w:sz w:val="18"/>
                <w:szCs w:val="18"/>
              </w:rPr>
              <w:t xml:space="preserve">в АПИ </w:t>
            </w:r>
            <w:r w:rsidRPr="00432281">
              <w:rPr>
                <w:sz w:val="18"/>
                <w:szCs w:val="18"/>
              </w:rPr>
              <w:t>при наличие на индикатори за нередност/измама установени в</w:t>
            </w:r>
            <w:r w:rsidR="003361AD" w:rsidRPr="00432281">
              <w:rPr>
                <w:sz w:val="18"/>
                <w:szCs w:val="18"/>
              </w:rPr>
              <w:t xml:space="preserve">следствие на осъществения </w:t>
            </w:r>
            <w:r w:rsidRPr="00432281">
              <w:rPr>
                <w:sz w:val="18"/>
                <w:szCs w:val="18"/>
              </w:rPr>
              <w:t xml:space="preserve">вътрешен контрол от проверки или </w:t>
            </w:r>
            <w:r w:rsidR="003361AD" w:rsidRPr="00432281">
              <w:rPr>
                <w:sz w:val="18"/>
                <w:szCs w:val="18"/>
              </w:rPr>
              <w:t>такива</w:t>
            </w:r>
            <w:r w:rsidRPr="00432281">
              <w:rPr>
                <w:sz w:val="18"/>
                <w:szCs w:val="18"/>
              </w:rPr>
              <w:t xml:space="preserve"> от външни одитиращи институции</w:t>
            </w:r>
          </w:p>
        </w:tc>
        <w:tc>
          <w:tcPr>
            <w:tcW w:w="1701" w:type="dxa"/>
            <w:gridSpan w:val="2"/>
          </w:tcPr>
          <w:p w:rsidR="008C2CDC" w:rsidRPr="00432281" w:rsidRDefault="008C2CDC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Организационен/  кадрови</w:t>
            </w:r>
          </w:p>
        </w:tc>
        <w:tc>
          <w:tcPr>
            <w:tcW w:w="1984" w:type="dxa"/>
          </w:tcPr>
          <w:p w:rsidR="008C2CDC" w:rsidRPr="00432281" w:rsidRDefault="008C2CDC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Добре работещи системи за управление и контрол /СФУК/ с акцент към вътрешните контроли в агенцията.</w:t>
            </w:r>
          </w:p>
        </w:tc>
        <w:tc>
          <w:tcPr>
            <w:tcW w:w="1418" w:type="dxa"/>
            <w:gridSpan w:val="2"/>
          </w:tcPr>
          <w:p w:rsidR="008C2CDC" w:rsidRPr="00432281" w:rsidRDefault="008C2CDC" w:rsidP="008C2CD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31.12.2018 г.</w:t>
            </w:r>
          </w:p>
        </w:tc>
        <w:tc>
          <w:tcPr>
            <w:tcW w:w="1559" w:type="dxa"/>
            <w:gridSpan w:val="2"/>
          </w:tcPr>
          <w:p w:rsidR="008C2CDC" w:rsidRPr="00432281" w:rsidRDefault="008C2CDC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Годишен доклад за СФУК, придружен с въпросник за самооценка от ръководството на АПИ</w:t>
            </w:r>
          </w:p>
        </w:tc>
        <w:tc>
          <w:tcPr>
            <w:tcW w:w="709" w:type="dxa"/>
          </w:tcPr>
          <w:p w:rsidR="008C2CDC" w:rsidRPr="00432281" w:rsidRDefault="008C2CDC" w:rsidP="00152109">
            <w:pPr>
              <w:pStyle w:val="20"/>
              <w:shd w:val="clear" w:color="auto" w:fill="auto"/>
              <w:tabs>
                <w:tab w:val="left" w:pos="635"/>
              </w:tabs>
              <w:spacing w:before="0" w:line="240" w:lineRule="auto"/>
              <w:ind w:left="-74" w:right="-142"/>
              <w:jc w:val="center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Среден</w:t>
            </w:r>
          </w:p>
        </w:tc>
        <w:tc>
          <w:tcPr>
            <w:tcW w:w="2127" w:type="dxa"/>
            <w:gridSpan w:val="2"/>
          </w:tcPr>
          <w:p w:rsidR="00BE5ADD" w:rsidRPr="00432281" w:rsidRDefault="00BE5ADD" w:rsidP="008C2CDC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Председател на УС на АПИ;</w:t>
            </w:r>
          </w:p>
          <w:p w:rsidR="00BE5ADD" w:rsidRPr="00432281" w:rsidRDefault="008C2CDC" w:rsidP="008C2CDC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 xml:space="preserve">Директор на дирекция </w:t>
            </w:r>
            <w:r w:rsidR="00BE5ADD" w:rsidRPr="00432281">
              <w:rPr>
                <w:sz w:val="18"/>
                <w:szCs w:val="18"/>
              </w:rPr>
              <w:t>„</w:t>
            </w:r>
            <w:r w:rsidRPr="00432281">
              <w:rPr>
                <w:sz w:val="18"/>
                <w:szCs w:val="18"/>
              </w:rPr>
              <w:t>Вътрешен одит</w:t>
            </w:r>
            <w:r w:rsidR="00BE5ADD" w:rsidRPr="00432281">
              <w:rPr>
                <w:sz w:val="18"/>
                <w:szCs w:val="18"/>
              </w:rPr>
              <w:t>“ в АПИ</w:t>
            </w:r>
          </w:p>
          <w:p w:rsidR="008C2CDC" w:rsidRPr="00432281" w:rsidRDefault="00BE5ADD" w:rsidP="00BE5ADD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Директор на дирекция „</w:t>
            </w:r>
            <w:r w:rsidR="008C2CDC" w:rsidRPr="00432281">
              <w:rPr>
                <w:sz w:val="18"/>
                <w:szCs w:val="18"/>
              </w:rPr>
              <w:t>АРОК</w:t>
            </w:r>
            <w:r w:rsidRPr="00432281">
              <w:rPr>
                <w:sz w:val="18"/>
                <w:szCs w:val="18"/>
              </w:rPr>
              <w:t>“ в АПИ</w:t>
            </w:r>
          </w:p>
        </w:tc>
        <w:tc>
          <w:tcPr>
            <w:tcW w:w="3010" w:type="dxa"/>
          </w:tcPr>
          <w:p w:rsidR="008C2CDC" w:rsidRPr="00432281" w:rsidRDefault="00AD315C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 29.01.2018</w:t>
            </w:r>
            <w:r w:rsidR="000E12B9"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г. е изготвен доклад за състоянието на СФУК в АПИ, придружен с въпросник за самооценка попълнен от ръководството  </w:t>
            </w:r>
            <w:r w:rsidR="0032393D"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 АПИ </w:t>
            </w: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за изтеклата 2017</w:t>
            </w:r>
            <w:r w:rsidR="00296E65"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г. </w:t>
            </w:r>
          </w:p>
        </w:tc>
      </w:tr>
      <w:tr w:rsidR="00ED1C6A" w:rsidRPr="00EB2358" w:rsidTr="00CA17C2">
        <w:tc>
          <w:tcPr>
            <w:tcW w:w="3227" w:type="dxa"/>
          </w:tcPr>
          <w:p w:rsidR="00ED1C6A" w:rsidRPr="00432281" w:rsidRDefault="00ED1C6A" w:rsidP="007A096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Извършване на постоянно видеонаблюдение и контрол за достъпа в административн</w:t>
            </w:r>
            <w:r w:rsidR="007A0966" w:rsidRPr="00432281">
              <w:rPr>
                <w:sz w:val="18"/>
                <w:szCs w:val="18"/>
              </w:rPr>
              <w:t>а</w:t>
            </w:r>
            <w:r w:rsidRPr="00432281">
              <w:rPr>
                <w:sz w:val="18"/>
                <w:szCs w:val="18"/>
              </w:rPr>
              <w:t>т</w:t>
            </w:r>
            <w:r w:rsidR="007A0966" w:rsidRPr="00432281">
              <w:rPr>
                <w:sz w:val="18"/>
                <w:szCs w:val="18"/>
              </w:rPr>
              <w:t>а</w:t>
            </w:r>
            <w:r w:rsidRPr="00432281">
              <w:rPr>
                <w:sz w:val="18"/>
                <w:szCs w:val="18"/>
              </w:rPr>
              <w:t xml:space="preserve"> сград</w:t>
            </w:r>
            <w:r w:rsidR="007A0966" w:rsidRPr="00432281">
              <w:rPr>
                <w:sz w:val="18"/>
                <w:szCs w:val="18"/>
              </w:rPr>
              <w:t>а на АПИ</w:t>
            </w:r>
            <w:r w:rsidRPr="00432281">
              <w:rPr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701" w:type="dxa"/>
            <w:gridSpan w:val="2"/>
          </w:tcPr>
          <w:p w:rsidR="00ED1C6A" w:rsidRPr="00432281" w:rsidRDefault="00A208A8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ED1C6A" w:rsidRPr="00432281" w:rsidRDefault="002D3CB1" w:rsidP="00CA17C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 xml:space="preserve">Предотвратяване на </w:t>
            </w:r>
            <w:r w:rsidR="00ED1C6A" w:rsidRPr="00432281">
              <w:rPr>
                <w:sz w:val="18"/>
                <w:szCs w:val="18"/>
              </w:rPr>
              <w:t>нерегламентирано изнасяне на информация от агенцията и осъществяване на корупционни практики.</w:t>
            </w:r>
          </w:p>
        </w:tc>
        <w:tc>
          <w:tcPr>
            <w:tcW w:w="1418" w:type="dxa"/>
            <w:gridSpan w:val="2"/>
          </w:tcPr>
          <w:p w:rsidR="00ED1C6A" w:rsidRPr="00432281" w:rsidRDefault="00ED1C6A" w:rsidP="00ED1C6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ED1C6A" w:rsidRPr="00432281" w:rsidRDefault="00ED1C6A" w:rsidP="00B66D9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 xml:space="preserve">Осигурено видеонаблюдение </w:t>
            </w:r>
            <w:r w:rsidR="002D3CB1" w:rsidRPr="00432281">
              <w:rPr>
                <w:sz w:val="18"/>
                <w:szCs w:val="18"/>
              </w:rPr>
              <w:t xml:space="preserve">и </w:t>
            </w:r>
            <w:r w:rsidR="00B66D98" w:rsidRPr="00432281">
              <w:rPr>
                <w:sz w:val="18"/>
                <w:szCs w:val="18"/>
              </w:rPr>
              <w:t xml:space="preserve">засилен </w:t>
            </w:r>
            <w:r w:rsidRPr="00432281">
              <w:rPr>
                <w:sz w:val="18"/>
                <w:szCs w:val="18"/>
              </w:rPr>
              <w:t>контрол</w:t>
            </w:r>
            <w:r w:rsidR="002D3CB1" w:rsidRPr="00432281">
              <w:rPr>
                <w:sz w:val="18"/>
                <w:szCs w:val="18"/>
              </w:rPr>
              <w:t xml:space="preserve"> на</w:t>
            </w:r>
            <w:r w:rsidRPr="00432281">
              <w:rPr>
                <w:sz w:val="18"/>
                <w:szCs w:val="18"/>
              </w:rPr>
              <w:t xml:space="preserve"> достъп </w:t>
            </w:r>
            <w:r w:rsidR="002D3CB1" w:rsidRPr="00432281">
              <w:rPr>
                <w:sz w:val="18"/>
                <w:szCs w:val="18"/>
              </w:rPr>
              <w:t>на служители и външни лица</w:t>
            </w:r>
          </w:p>
        </w:tc>
        <w:tc>
          <w:tcPr>
            <w:tcW w:w="709" w:type="dxa"/>
          </w:tcPr>
          <w:p w:rsidR="00ED1C6A" w:rsidRPr="00432281" w:rsidRDefault="009E1D67" w:rsidP="000E12B9">
            <w:pPr>
              <w:pStyle w:val="20"/>
              <w:shd w:val="clear" w:color="auto" w:fill="auto"/>
              <w:spacing w:before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Среден</w:t>
            </w:r>
          </w:p>
        </w:tc>
        <w:tc>
          <w:tcPr>
            <w:tcW w:w="2127" w:type="dxa"/>
            <w:gridSpan w:val="2"/>
          </w:tcPr>
          <w:p w:rsidR="00A208A8" w:rsidRPr="00432281" w:rsidRDefault="00A208A8" w:rsidP="00A208A8">
            <w:pPr>
              <w:pStyle w:val="20"/>
              <w:shd w:val="clear" w:color="auto" w:fill="auto"/>
              <w:spacing w:before="0" w:after="120" w:line="240" w:lineRule="auto"/>
              <w:jc w:val="left"/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>Председател на УС на АПИ и д</w:t>
            </w:r>
            <w:r w:rsidR="00ED1C6A" w:rsidRPr="00432281">
              <w:rPr>
                <w:sz w:val="18"/>
                <w:szCs w:val="18"/>
              </w:rPr>
              <w:t>ирек</w:t>
            </w:r>
            <w:r w:rsidR="00360529" w:rsidRPr="00432281">
              <w:rPr>
                <w:sz w:val="18"/>
                <w:szCs w:val="18"/>
              </w:rPr>
              <w:t>тор на дирек</w:t>
            </w:r>
            <w:r w:rsidR="00ED1C6A" w:rsidRPr="00432281">
              <w:rPr>
                <w:sz w:val="18"/>
                <w:szCs w:val="18"/>
              </w:rPr>
              <w:t xml:space="preserve">ция </w:t>
            </w:r>
            <w:r w:rsidR="004E6C5A" w:rsidRPr="00432281">
              <w:rPr>
                <w:sz w:val="18"/>
                <w:szCs w:val="18"/>
              </w:rPr>
              <w:t>„Административно обслужване, човешки ресурси и управление на собствеността“ (</w:t>
            </w:r>
            <w:r w:rsidR="00ED1C6A" w:rsidRPr="00432281">
              <w:rPr>
                <w:sz w:val="18"/>
                <w:szCs w:val="18"/>
              </w:rPr>
              <w:t>АОЧРУС</w:t>
            </w:r>
            <w:r w:rsidR="004E6C5A" w:rsidRPr="00432281">
              <w:rPr>
                <w:sz w:val="18"/>
                <w:szCs w:val="18"/>
              </w:rPr>
              <w:t>)</w:t>
            </w:r>
          </w:p>
        </w:tc>
        <w:tc>
          <w:tcPr>
            <w:tcW w:w="3010" w:type="dxa"/>
          </w:tcPr>
          <w:p w:rsidR="00ED1C6A" w:rsidRPr="00432281" w:rsidRDefault="000E12B9" w:rsidP="00CE527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се изпълнява. В АПИ е осигурено постоянно </w:t>
            </w:r>
            <w:proofErr w:type="spellStart"/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видеонаблю-дение</w:t>
            </w:r>
            <w:proofErr w:type="spellEnd"/>
            <w:r w:rsidRPr="004322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 контрол в залите за провеждане на обществени поръчки и съхранение на документацията. </w:t>
            </w:r>
          </w:p>
        </w:tc>
      </w:tr>
      <w:tr w:rsidR="00ED1C6A" w:rsidRPr="00EB2358" w:rsidTr="00CA17C2">
        <w:tc>
          <w:tcPr>
            <w:tcW w:w="15735" w:type="dxa"/>
            <w:gridSpan w:val="12"/>
            <w:shd w:val="clear" w:color="auto" w:fill="92D050"/>
          </w:tcPr>
          <w:p w:rsidR="00ED1C6A" w:rsidRPr="00EB2358" w:rsidRDefault="00ED1C6A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ED1C6A" w:rsidRPr="00EB2358" w:rsidRDefault="00ED1C6A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3227" w:type="dxa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709" w:type="dxa"/>
            <w:shd w:val="clear" w:color="auto" w:fill="FFFFCC"/>
          </w:tcPr>
          <w:p w:rsidR="00861250" w:rsidRPr="00EB2358" w:rsidRDefault="00861250" w:rsidP="00BF5DC5">
            <w:pPr>
              <w:pStyle w:val="20"/>
              <w:shd w:val="clear" w:color="auto" w:fill="auto"/>
              <w:spacing w:before="0" w:line="274" w:lineRule="exact"/>
              <w:ind w:left="-74" w:right="-142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Степен на риска</w:t>
            </w:r>
          </w:p>
        </w:tc>
        <w:tc>
          <w:tcPr>
            <w:tcW w:w="2127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861250" w:rsidRPr="00EB2358" w:rsidRDefault="00861250" w:rsidP="00A7729B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3010" w:type="dxa"/>
            <w:shd w:val="clear" w:color="auto" w:fill="FFFFCC"/>
          </w:tcPr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2018 г./И</w:t>
            </w:r>
            <w:r w:rsidRPr="00EB2358">
              <w:rPr>
                <w:sz w:val="20"/>
                <w:szCs w:val="20"/>
              </w:rPr>
              <w:t>зпълнение</w:t>
            </w:r>
          </w:p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  <w:p w:rsidR="00861250" w:rsidRPr="006B387E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250" w:rsidRPr="00EB2358" w:rsidTr="00CA17C2">
        <w:tc>
          <w:tcPr>
            <w:tcW w:w="3227" w:type="dxa"/>
          </w:tcPr>
          <w:p w:rsidR="00861250" w:rsidRPr="008438B8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Контрол на сроковете за изготвяне на отговор на запитвания от звеното за контакт относно продукти в строителството във връзка с предоставянето на административната  услуга АУ35</w:t>
            </w:r>
          </w:p>
        </w:tc>
        <w:tc>
          <w:tcPr>
            <w:tcW w:w="1701" w:type="dxa"/>
            <w:gridSpan w:val="2"/>
          </w:tcPr>
          <w:p w:rsidR="00861250" w:rsidRPr="008438B8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861250" w:rsidRPr="008438B8" w:rsidRDefault="00861250" w:rsidP="00A772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</w:tc>
        <w:tc>
          <w:tcPr>
            <w:tcW w:w="1418" w:type="dxa"/>
            <w:gridSpan w:val="2"/>
          </w:tcPr>
          <w:p w:rsidR="00861250" w:rsidRPr="008438B8" w:rsidRDefault="00861250" w:rsidP="00BA4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Pr="008438B8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Брой подадени  жалби</w:t>
            </w:r>
          </w:p>
        </w:tc>
        <w:tc>
          <w:tcPr>
            <w:tcW w:w="709" w:type="dxa"/>
          </w:tcPr>
          <w:p w:rsidR="00861250" w:rsidRPr="008438B8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Нисък</w:t>
            </w:r>
          </w:p>
        </w:tc>
        <w:tc>
          <w:tcPr>
            <w:tcW w:w="2127" w:type="dxa"/>
            <w:gridSpan w:val="2"/>
          </w:tcPr>
          <w:p w:rsidR="00861250" w:rsidRPr="008438B8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Началник отдел „Строителни продукти“</w:t>
            </w:r>
          </w:p>
          <w:p w:rsidR="00861250" w:rsidRPr="008438B8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8B8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„Технически правила и норми“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3010" w:type="dxa"/>
          </w:tcPr>
          <w:p w:rsidR="00861250" w:rsidRDefault="00267D3E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861250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ена</w:t>
            </w:r>
            <w:r w:rsidR="00861250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267D3E" w:rsidRDefault="00861250" w:rsidP="00267D3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732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През </w:t>
            </w:r>
            <w:r w:rsidR="00267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2018 г.</w:t>
            </w:r>
            <w:r w:rsidRPr="00732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не са подадени жалби от страна на граждани и дружества свързани със забавяне на отговор на отправени запитвания.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267D3E" w:rsidRPr="008438B8" w:rsidRDefault="00267D3E" w:rsidP="00267D3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Със заповед на министъра № РД-02-14-1175/ </w:t>
            </w:r>
            <w:r w:rsidRPr="00267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15.11.2018 г. административ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  услуга АУ35 е заличена от с</w:t>
            </w:r>
            <w:r w:rsidRPr="00267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писъка на административните услуги предоставяни 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министерството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B47C5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 xml:space="preserve">Засилване на контрола за спазване на сроковете и правилата при провеждане на годишните проверки на лицата при осъществяване на процедура за издаване на разрешения на лица за </w:t>
            </w:r>
            <w:r w:rsidRPr="00B47C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оценяване на строителни продукти и за упражняване на контрол върху дейността им съгласно приложение № 2 към чл. 17, ал. 2 от Наредба № РД-02-20-1 от 2015 г.</w:t>
            </w:r>
          </w:p>
        </w:tc>
        <w:tc>
          <w:tcPr>
            <w:tcW w:w="1701" w:type="dxa"/>
            <w:gridSpan w:val="2"/>
          </w:tcPr>
          <w:p w:rsidR="00861250" w:rsidRPr="00B47C5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861250" w:rsidRPr="00B47C5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</w:tc>
        <w:tc>
          <w:tcPr>
            <w:tcW w:w="1418" w:type="dxa"/>
            <w:gridSpan w:val="2"/>
          </w:tcPr>
          <w:p w:rsidR="00861250" w:rsidRPr="00B47C55" w:rsidRDefault="00861250" w:rsidP="00BA4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Pr="00B47C5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Брой подадени жалби</w:t>
            </w:r>
          </w:p>
        </w:tc>
        <w:tc>
          <w:tcPr>
            <w:tcW w:w="709" w:type="dxa"/>
          </w:tcPr>
          <w:p w:rsidR="00861250" w:rsidRPr="00B47C5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Нисък</w:t>
            </w:r>
          </w:p>
        </w:tc>
        <w:tc>
          <w:tcPr>
            <w:tcW w:w="2127" w:type="dxa"/>
            <w:gridSpan w:val="2"/>
          </w:tcPr>
          <w:p w:rsidR="00861250" w:rsidRPr="00B47C5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Началник отдел „Строителни продукти“</w:t>
            </w:r>
          </w:p>
          <w:p w:rsidR="00861250" w:rsidRPr="00B47C5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„Технически правила и норми“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78E4">
              <w:rPr>
                <w:rFonts w:ascii="Times New Roman" w:hAnsi="Times New Roman" w:cs="Times New Roman"/>
                <w:sz w:val="18"/>
                <w:szCs w:val="18"/>
              </w:rPr>
              <w:t xml:space="preserve">(ТПН)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</w:p>
        </w:tc>
        <w:tc>
          <w:tcPr>
            <w:tcW w:w="3010" w:type="dxa"/>
          </w:tcPr>
          <w:p w:rsidR="00267D3E" w:rsidRDefault="00267D3E" w:rsidP="000B78E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е изпълнена.</w:t>
            </w:r>
          </w:p>
          <w:p w:rsidR="000B78E4" w:rsidRPr="000B78E4" w:rsidRDefault="00861250" w:rsidP="000B78E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732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През </w:t>
            </w:r>
            <w:r w:rsid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2018 г.</w:t>
            </w:r>
            <w:r w:rsidRPr="00732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</w:t>
            </w:r>
            <w:r w:rsidRPr="00732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яма подадени жалби от страна на оправомощени лица свързани с провеждането на процедурата за издаване на </w:t>
            </w:r>
            <w:r w:rsidRPr="00732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разрешения на лицата за оценяване на строителни продукти и за упражняване на контрол върху дейността им. </w:t>
            </w:r>
          </w:p>
          <w:p w:rsidR="000B78E4" w:rsidRPr="000B78E4" w:rsidRDefault="000B78E4" w:rsidP="000B78E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0B7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кспертите от отдел „Строителни продукти“ на дирекция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</w:t>
            </w:r>
            <w:r w:rsidRPr="000B7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ТПН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  <w:r w:rsidRPr="000B7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организираха и проведоха 23 бр. проверки, в това число една извънредна. Всички планирани проверки са проведени.</w:t>
            </w:r>
          </w:p>
          <w:p w:rsidR="000B78E4" w:rsidRPr="008438B8" w:rsidRDefault="000B78E4" w:rsidP="00267D3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0B7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Намаления и недостатъчен състав на отдела води до забавяне при изготвянето на документите за нотификация и оправомощаване на 6 бр. органи за о</w:t>
            </w:r>
            <w:r w:rsidR="00267D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ценяване на строителни продукти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6B722E" w:rsidRDefault="00861250" w:rsidP="00C07ECF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Недопускане на индивидуална комуникация между заявители на административна услуга 17 (АУ-17) и служителите от дирекция „</w:t>
            </w:r>
            <w:proofErr w:type="spellStart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Геозащита</w:t>
            </w:r>
            <w:proofErr w:type="spellEnd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 благоустройствени дейности“ (ГБД), предоставяща услугата</w:t>
            </w:r>
          </w:p>
        </w:tc>
        <w:tc>
          <w:tcPr>
            <w:tcW w:w="1701" w:type="dxa"/>
            <w:gridSpan w:val="2"/>
          </w:tcPr>
          <w:p w:rsidR="00861250" w:rsidRPr="006B722E" w:rsidRDefault="00861250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Организационен</w:t>
            </w:r>
          </w:p>
        </w:tc>
        <w:tc>
          <w:tcPr>
            <w:tcW w:w="1984" w:type="dxa"/>
          </w:tcPr>
          <w:p w:rsidR="00861250" w:rsidRPr="006B722E" w:rsidRDefault="00861250" w:rsidP="00C07E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Ограничаване възможността на  субективния фактор да влияе върху процеса  и решението относно предоставяне на услугата</w:t>
            </w:r>
          </w:p>
        </w:tc>
        <w:tc>
          <w:tcPr>
            <w:tcW w:w="1418" w:type="dxa"/>
            <w:gridSpan w:val="2"/>
          </w:tcPr>
          <w:p w:rsidR="00861250" w:rsidRPr="006B722E" w:rsidRDefault="00861250" w:rsidP="00BA461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Pr="006B722E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Брой постъпили на хартиен или електронен носител искания за издаване на предварителни съгласия по чл. 96, ал. 3 и ал. 4 от Закон за устройство на територията (ЗУТ)</w:t>
            </w:r>
          </w:p>
        </w:tc>
        <w:tc>
          <w:tcPr>
            <w:tcW w:w="709" w:type="dxa"/>
          </w:tcPr>
          <w:p w:rsidR="00861250" w:rsidRPr="006B722E" w:rsidRDefault="00861250" w:rsidP="0073208B">
            <w:pPr>
              <w:widowControl w:val="0"/>
              <w:spacing w:line="295" w:lineRule="exact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Нисък/ Среден</w:t>
            </w:r>
          </w:p>
        </w:tc>
        <w:tc>
          <w:tcPr>
            <w:tcW w:w="2127" w:type="dxa"/>
            <w:gridSpan w:val="2"/>
          </w:tcPr>
          <w:p w:rsidR="00861250" w:rsidRPr="006B722E" w:rsidRDefault="00861250" w:rsidP="00C07ECF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Директор на дирекция „ГБД“ в МРРБ;</w:t>
            </w:r>
          </w:p>
          <w:p w:rsidR="00861250" w:rsidRPr="006B722E" w:rsidRDefault="00861250" w:rsidP="00C07ECF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Началник на отдел „</w:t>
            </w:r>
            <w:proofErr w:type="spellStart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Геозащита</w:t>
            </w:r>
            <w:proofErr w:type="spellEnd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</w:p>
        </w:tc>
        <w:tc>
          <w:tcPr>
            <w:tcW w:w="3010" w:type="dxa"/>
          </w:tcPr>
          <w:p w:rsidR="00861250" w:rsidRPr="006B722E" w:rsidRDefault="00861250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е изпълн</w:t>
            </w:r>
            <w:r w:rsid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а. </w:t>
            </w:r>
          </w:p>
          <w:p w:rsidR="00860454" w:rsidRPr="006B722E" w:rsidRDefault="00860454" w:rsidP="006B722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Във връзка с функцията на министъра на регионалното развитие и благоустройството за издаване на предварителни съгласия в </w:t>
            </w:r>
            <w:proofErr w:type="spellStart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свлачищни</w:t>
            </w:r>
            <w:proofErr w:type="spellEnd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райони, която се изпълнява от дирекция „</w:t>
            </w:r>
            <w:proofErr w:type="spellStart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Геозащита</w:t>
            </w:r>
            <w:proofErr w:type="spellEnd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 благоустройствени дейности“, </w:t>
            </w:r>
            <w:r w:rsid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през </w:t>
            </w:r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2018 г. е осъществен предварителен контрол на постъпили 107 искания във връзка с инвестиционни намерения в </w:t>
            </w:r>
            <w:proofErr w:type="spellStart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свлачищни</w:t>
            </w:r>
            <w:proofErr w:type="spellEnd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райони, от които са издадени: 25 бр. предварителни съгласия за </w:t>
            </w:r>
            <w:proofErr w:type="spellStart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геозащитни</w:t>
            </w:r>
            <w:proofErr w:type="spellEnd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мерки и дейности (укрепителни и/или отводнителни); 12 бр. предварителни съгласия за строителство на сгради и съоръжения; 70 бр. писма с указания и др. кореспонденция по въпроси, свързани със строителство в </w:t>
            </w:r>
            <w:proofErr w:type="spellStart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свлачищни</w:t>
            </w:r>
            <w:proofErr w:type="spellEnd"/>
            <w:r w:rsidRPr="006B72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райони. </w:t>
            </w:r>
          </w:p>
        </w:tc>
      </w:tr>
      <w:tr w:rsidR="00861250" w:rsidRPr="00EB2358" w:rsidTr="00CA17C2">
        <w:tc>
          <w:tcPr>
            <w:tcW w:w="15735" w:type="dxa"/>
            <w:gridSpan w:val="12"/>
            <w:shd w:val="clear" w:color="auto" w:fill="92D050"/>
          </w:tcPr>
          <w:p w:rsidR="00861250" w:rsidRPr="00EB2358" w:rsidRDefault="00861250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861250" w:rsidRPr="00EB2358" w:rsidTr="00CA17C2">
        <w:tc>
          <w:tcPr>
            <w:tcW w:w="3227" w:type="dxa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709" w:type="dxa"/>
            <w:shd w:val="clear" w:color="auto" w:fill="FFFFCC"/>
          </w:tcPr>
          <w:p w:rsidR="00861250" w:rsidRPr="00EB2358" w:rsidRDefault="00861250" w:rsidP="00BF5DC5">
            <w:pPr>
              <w:pStyle w:val="20"/>
              <w:shd w:val="clear" w:color="auto" w:fill="auto"/>
              <w:spacing w:before="0" w:line="274" w:lineRule="exact"/>
              <w:ind w:left="-74" w:right="-142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Степен на риска</w:t>
            </w:r>
          </w:p>
        </w:tc>
        <w:tc>
          <w:tcPr>
            <w:tcW w:w="2127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861250" w:rsidRPr="00EB2358" w:rsidRDefault="00861250" w:rsidP="00A7729B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3010" w:type="dxa"/>
            <w:shd w:val="clear" w:color="auto" w:fill="FFFFCC"/>
          </w:tcPr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2018 г./И</w:t>
            </w:r>
            <w:r w:rsidRPr="00EB2358">
              <w:rPr>
                <w:sz w:val="20"/>
                <w:szCs w:val="20"/>
              </w:rPr>
              <w:t>зпълнение</w:t>
            </w:r>
          </w:p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  <w:p w:rsidR="00861250" w:rsidRPr="006B387E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250" w:rsidRPr="00EB2358" w:rsidTr="00CA17C2">
        <w:tc>
          <w:tcPr>
            <w:tcW w:w="3227" w:type="dxa"/>
          </w:tcPr>
          <w:p w:rsidR="00861250" w:rsidRPr="00B47C55" w:rsidRDefault="00861250" w:rsidP="00F2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Въвеждане на ротационен принцип при назначаване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отговорен експерт и членове</w:t>
            </w: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 xml:space="preserve"> на комисиите за провеждане на процедура за издаване на разрешения на лица за оценяване на строителни продукти и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упражняване на контрол върху дейността им съгласно приложение № 2 към чл. 17, ал. 2 от Наредба № РД-02-20-1 от 2015 г.</w:t>
            </w:r>
          </w:p>
        </w:tc>
        <w:tc>
          <w:tcPr>
            <w:tcW w:w="1701" w:type="dxa"/>
            <w:gridSpan w:val="2"/>
          </w:tcPr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</w:tcPr>
          <w:p w:rsidR="00861250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 xml:space="preserve">Установяване на нарушения, които не са били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констатира</w:t>
            </w: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ни преди това</w:t>
            </w:r>
          </w:p>
        </w:tc>
        <w:tc>
          <w:tcPr>
            <w:tcW w:w="1418" w:type="dxa"/>
            <w:gridSpan w:val="2"/>
          </w:tcPr>
          <w:p w:rsidR="00861250" w:rsidRPr="00B47C55" w:rsidRDefault="00861250" w:rsidP="00BA4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 xml:space="preserve">Брой подадени жалби от нотифицираните лица и икономически оператори  </w:t>
            </w:r>
          </w:p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709" w:type="dxa"/>
          </w:tcPr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Нисък</w:t>
            </w:r>
          </w:p>
        </w:tc>
        <w:tc>
          <w:tcPr>
            <w:tcW w:w="2127" w:type="dxa"/>
            <w:gridSpan w:val="2"/>
          </w:tcPr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Началник отдел „Строителни продукти“</w:t>
            </w:r>
          </w:p>
          <w:p w:rsidR="00861250" w:rsidRPr="00B47C55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C55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„Технически правила и норми“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3010" w:type="dxa"/>
          </w:tcPr>
          <w:p w:rsidR="00861250" w:rsidRDefault="003B47A4" w:rsidP="009261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</w:t>
            </w:r>
            <w:r w:rsidR="00861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ярката</w:t>
            </w:r>
            <w:r w:rsidR="00861250" w:rsidRPr="00F26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е изпълнена частично, като </w:t>
            </w:r>
            <w:r w:rsidR="00861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е </w:t>
            </w:r>
            <w:r w:rsidR="00861250" w:rsidRPr="00F26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прил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ожена</w:t>
            </w:r>
            <w:r w:rsidR="00861250" w:rsidRPr="00F26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само по отношение</w:t>
            </w:r>
            <w:r w:rsidR="00861250" w:rsidRPr="00F26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определяне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то</w:t>
            </w:r>
            <w:r w:rsidR="00861250" w:rsidRPr="00F26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на отговорен експерт. </w:t>
            </w:r>
          </w:p>
          <w:p w:rsidR="003B47A4" w:rsidRDefault="003B47A4" w:rsidP="003B47A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3B47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Пълен ротационен принцип за членовете на комисиите не е осъществен поради липса на достатъчен персонал и неосигурена възможност за попълване на свободните щатни бройки в отдел „Строителни продукти“</w:t>
            </w:r>
          </w:p>
          <w:p w:rsidR="00861250" w:rsidRPr="00EB2358" w:rsidRDefault="00861250" w:rsidP="0092617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</w:t>
            </w:r>
            <w:r w:rsidRPr="00F26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са постъпили устни или писмени жалби и възражения от страна на проверяваните лица.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BA461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представител на професионалната организация - Камарата на инженерите по геодезия  в комисията за вписване на кандидатите в регистъра на правоспособните лица за извършване на дейности по кадастър </w:t>
            </w: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861250" w:rsidRPr="00BA461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  <w:p w:rsidR="00861250" w:rsidRPr="00BA461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250" w:rsidRPr="00BA461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1250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>Прозрачност в дейността на комисията, която разглежда заявленията за вписване в регистъра на правоспособните лица за извършване на дейности по кадастъра.</w:t>
            </w:r>
          </w:p>
          <w:p w:rsidR="00861250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250" w:rsidRPr="00BA461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61250" w:rsidRPr="00BA4619" w:rsidRDefault="00861250" w:rsidP="00BA4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Pr="00BA461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>Отменени заповеди за отказ за вписване в регистъра на правоспособните лица</w:t>
            </w:r>
          </w:p>
        </w:tc>
        <w:tc>
          <w:tcPr>
            <w:tcW w:w="709" w:type="dxa"/>
          </w:tcPr>
          <w:p w:rsidR="00861250" w:rsidRPr="00BA4619" w:rsidRDefault="00861250" w:rsidP="0073208B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>Среден</w:t>
            </w:r>
          </w:p>
          <w:p w:rsidR="00861250" w:rsidRPr="00BA461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861250" w:rsidRDefault="00861250" w:rsidP="00BA4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</w:p>
          <w:p w:rsidR="00861250" w:rsidRPr="00BA4619" w:rsidRDefault="00861250" w:rsidP="00FF5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</w:t>
            </w: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 xml:space="preserve"> дирекция  “Кадастралн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 xml:space="preserve"> и специализиран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4619">
              <w:rPr>
                <w:rFonts w:ascii="Times New Roman" w:hAnsi="Times New Roman" w:cs="Times New Roman"/>
                <w:sz w:val="18"/>
                <w:szCs w:val="18"/>
              </w:rPr>
              <w:t xml:space="preserve"> карти“ (КСК)</w:t>
            </w:r>
          </w:p>
        </w:tc>
        <w:tc>
          <w:tcPr>
            <w:tcW w:w="3010" w:type="dxa"/>
          </w:tcPr>
          <w:p w:rsidR="00861250" w:rsidRDefault="003E529A" w:rsidP="003C191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861250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="00861250" w:rsidRPr="009D73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а. </w:t>
            </w:r>
          </w:p>
          <w:p w:rsidR="00861250" w:rsidRDefault="00861250" w:rsidP="00BA53B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Няма о</w:t>
            </w:r>
            <w:r w:rsidRPr="00BA53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тменени заповеди за отказ за вписване в регистъра на правоспособните лица</w:t>
            </w:r>
          </w:p>
          <w:p w:rsidR="00861250" w:rsidRPr="00EB2358" w:rsidRDefault="00861250" w:rsidP="00BA53B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15735" w:type="dxa"/>
            <w:gridSpan w:val="12"/>
            <w:shd w:val="clear" w:color="auto" w:fill="92D050"/>
          </w:tcPr>
          <w:p w:rsidR="00861250" w:rsidRPr="00EB2358" w:rsidRDefault="00861250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861250" w:rsidRPr="00EB2358" w:rsidTr="00CA17C2">
        <w:tc>
          <w:tcPr>
            <w:tcW w:w="3227" w:type="dxa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709" w:type="dxa"/>
            <w:shd w:val="clear" w:color="auto" w:fill="FFFFCC"/>
          </w:tcPr>
          <w:p w:rsidR="00861250" w:rsidRPr="00EB2358" w:rsidRDefault="00861250" w:rsidP="00BF5DC5">
            <w:pPr>
              <w:pStyle w:val="20"/>
              <w:shd w:val="clear" w:color="auto" w:fill="auto"/>
              <w:spacing w:before="0" w:line="274" w:lineRule="exact"/>
              <w:ind w:left="-74" w:right="-142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Степен на риска</w:t>
            </w:r>
          </w:p>
        </w:tc>
        <w:tc>
          <w:tcPr>
            <w:tcW w:w="2127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861250" w:rsidRPr="00EB2358" w:rsidRDefault="00861250" w:rsidP="00A7729B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3010" w:type="dxa"/>
            <w:shd w:val="clear" w:color="auto" w:fill="FFFFCC"/>
          </w:tcPr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2018 г./И</w:t>
            </w:r>
            <w:r w:rsidRPr="00EB2358">
              <w:rPr>
                <w:sz w:val="20"/>
                <w:szCs w:val="20"/>
              </w:rPr>
              <w:t>зпълнение</w:t>
            </w:r>
          </w:p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  <w:p w:rsidR="00861250" w:rsidRPr="006B387E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250" w:rsidRPr="00EB2358" w:rsidTr="00CA17C2">
        <w:tc>
          <w:tcPr>
            <w:tcW w:w="3227" w:type="dxa"/>
          </w:tcPr>
          <w:p w:rsidR="00861250" w:rsidRPr="00683EE5" w:rsidRDefault="00861250" w:rsidP="004E6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бенефициенти, свързани с указания за сключване на договори за предоставяне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безвъзмездна финансова помощ;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интернет страницата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добри практики, които да служат на бенефициентите при провеждане на обществени поръчки;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 страницата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анализ на най-често срещаните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нарушения при възлагане на обществени поръчки, установени при контрол на обществени поръчки, както и установени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одитната практика;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разяснителни кампании за бенефициенти, с цел избягване на неефектив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разходване на средства от ЕС</w:t>
            </w:r>
          </w:p>
        </w:tc>
        <w:tc>
          <w:tcPr>
            <w:tcW w:w="1701" w:type="dxa"/>
            <w:gridSpan w:val="2"/>
          </w:tcPr>
          <w:p w:rsidR="00861250" w:rsidRPr="00683EE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</w:tcPr>
          <w:p w:rsidR="00861250" w:rsidRPr="00683EE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ascii="Times New Roman" w:hAnsi="Times New Roman"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ЕФРР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861250" w:rsidRPr="00683EE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Pr="00683EE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ДБФП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законосъобраз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709" w:type="dxa"/>
          </w:tcPr>
          <w:p w:rsidR="00861250" w:rsidRPr="00683EE5" w:rsidRDefault="00861250" w:rsidP="00335798">
            <w:pPr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2127" w:type="dxa"/>
            <w:gridSpan w:val="2"/>
          </w:tcPr>
          <w:p w:rsidR="00861250" w:rsidRPr="00683EE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директор, зам. г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лавен директор 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3010" w:type="dxa"/>
          </w:tcPr>
          <w:p w:rsidR="00861250" w:rsidRDefault="00861250" w:rsidP="005113CC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7C49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а.</w:t>
            </w:r>
          </w:p>
          <w:p w:rsidR="00861250" w:rsidRDefault="00861250" w:rsidP="005113CC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роведен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</w:t>
            </w:r>
            <w:r w:rsidR="007C49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работн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срещ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и, информационни дни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/тип обучение/ с представители на бенефициенти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861250" w:rsidRDefault="00861250" w:rsidP="005113CC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 интернет страницата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ОПРР са публикувани </w:t>
            </w:r>
            <w:r w:rsidR="007C49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у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казания във връзка с осъществяването на последващ контрол на процедури за възлагане на обществени поръчки от изпълнителните орг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ани по фонд „Солидарност” на ЕС.</w:t>
            </w:r>
          </w:p>
          <w:p w:rsidR="00861250" w:rsidRPr="00EB2358" w:rsidRDefault="00861250" w:rsidP="00367D8A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Публикувана е 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относно н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аруше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нията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при възлагане на обществени поръчки, установени при извършени одити на УО на ОПРР и свързаните с тях препоръки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; информация за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най-често срещаните грешки при възлагане на обществени поръчки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, както и с</w:t>
            </w:r>
            <w:r w:rsidRPr="00511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писък на обстоятелства, наличието на които обуславя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съмнение за тръжни манипулации. 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683EE5" w:rsidRDefault="00861250" w:rsidP="00C0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здаване на решения за налагане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финансови корекции по чл. 73 от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ЗУСЕСИФ съгласно нормативната уредба и съдебната практика </w:t>
            </w:r>
          </w:p>
        </w:tc>
        <w:tc>
          <w:tcPr>
            <w:tcW w:w="1701" w:type="dxa"/>
            <w:gridSpan w:val="2"/>
          </w:tcPr>
          <w:p w:rsidR="00861250" w:rsidRPr="0036641E" w:rsidRDefault="00861250" w:rsidP="004245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641E">
              <w:rPr>
                <w:rFonts w:ascii="Times New Roman" w:hAnsi="Times New Roman" w:cs="Times New Roman"/>
                <w:bCs/>
                <w:sz w:val="18"/>
                <w:szCs w:val="18"/>
              </w:rPr>
              <w:t>Кадрови</w:t>
            </w:r>
            <w: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245CD">
              <w:rPr>
                <w:rFonts w:ascii="Times New Roman" w:hAnsi="Times New Roman" w:cs="Times New Roman"/>
                <w:bCs/>
                <w:sz w:val="18"/>
                <w:szCs w:val="18"/>
              </w:rPr>
              <w:t>овишаване на квалификацията на служителите, които извършват проверки по сигнали за нередности и подготвят решения за нал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245CD">
              <w:rPr>
                <w:rFonts w:ascii="Times New Roman" w:hAnsi="Times New Roman" w:cs="Times New Roman"/>
                <w:bCs/>
                <w:sz w:val="18"/>
                <w:szCs w:val="18"/>
              </w:rPr>
              <w:t>гане на финансови корекции</w:t>
            </w:r>
          </w:p>
        </w:tc>
        <w:tc>
          <w:tcPr>
            <w:tcW w:w="1984" w:type="dxa"/>
          </w:tcPr>
          <w:p w:rsidR="00861250" w:rsidRPr="00683EE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Намаляване на броя на отменените съдебни решения за финансови корекции и свързаните с това и финансовите загуби за бюджета на МРРБ</w:t>
            </w:r>
            <w:r w:rsidRPr="00683E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861250" w:rsidRPr="00683EE5" w:rsidRDefault="00861250" w:rsidP="0036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Текущо -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ижда се на тримесечна база да се извършва анализ на издадените и влезлите в сила съд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бни решения през съответните отчетни периоди, като фокусът ще е върху  причините и основанията  за отмяната им</w:t>
            </w:r>
          </w:p>
        </w:tc>
        <w:tc>
          <w:tcPr>
            <w:tcW w:w="1559" w:type="dxa"/>
            <w:gridSpan w:val="2"/>
          </w:tcPr>
          <w:p w:rsidR="00861250" w:rsidRPr="00683EE5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Брой решения в полза на бенефициерите </w:t>
            </w:r>
          </w:p>
        </w:tc>
        <w:tc>
          <w:tcPr>
            <w:tcW w:w="709" w:type="dxa"/>
          </w:tcPr>
          <w:p w:rsidR="00861250" w:rsidRPr="00683EE5" w:rsidRDefault="00861250" w:rsidP="00E02B67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Среден/  Висок</w:t>
            </w:r>
          </w:p>
        </w:tc>
        <w:tc>
          <w:tcPr>
            <w:tcW w:w="2127" w:type="dxa"/>
            <w:gridSpan w:val="2"/>
          </w:tcPr>
          <w:p w:rsidR="00861250" w:rsidRPr="00683EE5" w:rsidRDefault="00861250" w:rsidP="00442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Ръководител на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правляващ орган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ационален орган</w:t>
            </w:r>
          </w:p>
        </w:tc>
        <w:tc>
          <w:tcPr>
            <w:tcW w:w="3010" w:type="dxa"/>
          </w:tcPr>
          <w:p w:rsidR="003E529A" w:rsidRDefault="003E529A" w:rsidP="00E21EE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E21E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ена</w:t>
            </w:r>
            <w:r w:rsidR="00E21E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  <w:r w:rsidR="00861250" w:rsidRPr="00D22C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E21EED" w:rsidRDefault="00E21EED" w:rsidP="00E21EE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Броят на </w:t>
            </w:r>
            <w:r w:rsidR="00861250" w:rsidRPr="00D22C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съдебни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те</w:t>
            </w:r>
            <w:r w:rsidR="00861250" w:rsidRPr="00D22C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 полза на УО на ОПРР е 29 бр., а този в полза на бенефициентите е 13 бр. В активна фаза са 51 бр. дела, по които производството не е приключило </w:t>
            </w:r>
          </w:p>
          <w:p w:rsidR="00861250" w:rsidRPr="00EB2358" w:rsidRDefault="00E21EED" w:rsidP="00E21EE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861250" w:rsidRPr="00EB2358" w:rsidTr="00B30E34">
        <w:tc>
          <w:tcPr>
            <w:tcW w:w="3227" w:type="dxa"/>
            <w:shd w:val="clear" w:color="auto" w:fill="auto"/>
          </w:tcPr>
          <w:p w:rsidR="00861250" w:rsidRPr="00315D5F" w:rsidRDefault="00861250" w:rsidP="00F66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Издаване указания до службите по геодезия, картография и кадастър (СГКК) за уеднаквяване практиката по прилагането на нормативната уредба в сферата на кадастъра и геодезията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 за кадастъра и имотния регистър</w:t>
            </w: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, Закон за геодезията и картографията, Наредба № РД-02-20-5 от 15.12.2016 г., Наредба № РД-02-20-4 от 11.10.2016 г., Наредба № РД-02-20-3 от 29.09.2016 г., Тарифа № 14/1998 г. (последно изм. ДВ бр.99/13.12.2016 г.) и др.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1250" w:rsidRPr="00315D5F" w:rsidRDefault="00861250" w:rsidP="00315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Организацион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  <w:shd w:val="clear" w:color="auto" w:fill="auto"/>
          </w:tcPr>
          <w:p w:rsidR="00861250" w:rsidRPr="00315D5F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Уеднаквяване дейността на всички СГКК при прилагане на подзаконовите нормативни актове в областта на кадастъра и геодезията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1250" w:rsidRPr="00315D5F" w:rsidRDefault="00336868" w:rsidP="00640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61250" w:rsidRPr="00315D5F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Оплаквания и сигнали, относно нееднозначно прилагане на нормативната уредба. Доклади от началници на СГКК с искания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указания.</w:t>
            </w:r>
          </w:p>
        </w:tc>
        <w:tc>
          <w:tcPr>
            <w:tcW w:w="709" w:type="dxa"/>
            <w:shd w:val="clear" w:color="auto" w:fill="auto"/>
          </w:tcPr>
          <w:p w:rsidR="00861250" w:rsidRPr="00315D5F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Висок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61250" w:rsidRPr="00315D5F" w:rsidRDefault="00861250" w:rsidP="00315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1250" w:rsidRPr="00315D5F" w:rsidRDefault="00861250" w:rsidP="00315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D5F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“Административно-правно обслужване” (АПО)</w:t>
            </w:r>
          </w:p>
        </w:tc>
        <w:tc>
          <w:tcPr>
            <w:tcW w:w="3010" w:type="dxa"/>
            <w:shd w:val="clear" w:color="auto" w:fill="auto"/>
          </w:tcPr>
          <w:p w:rsidR="00B83DC9" w:rsidRDefault="00B83DC9" w:rsidP="0042438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е изпълнена.</w:t>
            </w:r>
          </w:p>
          <w:p w:rsidR="00B83DC9" w:rsidRDefault="00B83DC9" w:rsidP="0042438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Постъпили 3 бр. оплаквания от граждани и 7 бр. доклади от началници на СГКК с </w:t>
            </w:r>
            <w:r w:rsidRPr="00B83D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искан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83D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указания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от ръководството на АГКК</w:t>
            </w:r>
            <w:r w:rsidRPr="004243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  <w:p w:rsidR="00861250" w:rsidRDefault="00861250" w:rsidP="0042438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243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Издадени указания от изпълнителния директор на АГКК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до СГКК</w:t>
            </w:r>
            <w:r w:rsidRPr="004243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уеднаквяване на прилагането на нормативната уредба</w:t>
            </w:r>
            <w:r w:rsidR="00B83D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B83DC9" w:rsidRPr="00B83DC9" w:rsidRDefault="00B83DC9" w:rsidP="00B83DC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 w:bidi="bg-BG"/>
              </w:rPr>
            </w:pPr>
          </w:p>
        </w:tc>
      </w:tr>
      <w:tr w:rsidR="00861250" w:rsidRPr="00EB2358" w:rsidTr="00CA17C2">
        <w:tc>
          <w:tcPr>
            <w:tcW w:w="15735" w:type="dxa"/>
            <w:gridSpan w:val="12"/>
            <w:shd w:val="clear" w:color="auto" w:fill="92D050"/>
          </w:tcPr>
          <w:p w:rsidR="00861250" w:rsidRPr="00EB2358" w:rsidRDefault="00861250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Други мерки с оглед специфичните рискове в съответните ведомства</w:t>
            </w:r>
          </w:p>
          <w:p w:rsidR="00861250" w:rsidRPr="00EB2358" w:rsidRDefault="00861250" w:rsidP="003D2928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3227" w:type="dxa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Насоченост на мярката - организационен/ 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lastRenderedPageBreak/>
              <w:t>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lastRenderedPageBreak/>
              <w:t>Крайна цел на мярката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861250" w:rsidRPr="00E97D41" w:rsidRDefault="00861250" w:rsidP="00A7729B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861250" w:rsidRPr="00E97D41" w:rsidRDefault="00861250" w:rsidP="00A7729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Индикатор</w:t>
            </w:r>
          </w:p>
        </w:tc>
        <w:tc>
          <w:tcPr>
            <w:tcW w:w="709" w:type="dxa"/>
            <w:shd w:val="clear" w:color="auto" w:fill="FFFFCC"/>
          </w:tcPr>
          <w:p w:rsidR="00861250" w:rsidRPr="00EB2358" w:rsidRDefault="00861250" w:rsidP="00E02B67">
            <w:pPr>
              <w:pStyle w:val="20"/>
              <w:shd w:val="clear" w:color="auto" w:fill="auto"/>
              <w:spacing w:before="0" w:line="274" w:lineRule="exact"/>
              <w:ind w:left="-74" w:right="-142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Степен на риска</w:t>
            </w:r>
          </w:p>
        </w:tc>
        <w:tc>
          <w:tcPr>
            <w:tcW w:w="2127" w:type="dxa"/>
            <w:gridSpan w:val="2"/>
            <w:shd w:val="clear" w:color="auto" w:fill="FFFFCC"/>
          </w:tcPr>
          <w:p w:rsidR="00861250" w:rsidRPr="00EB2358" w:rsidRDefault="00861250" w:rsidP="00A7729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861250" w:rsidRPr="00EB2358" w:rsidRDefault="00861250" w:rsidP="00A7729B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3010" w:type="dxa"/>
            <w:shd w:val="clear" w:color="auto" w:fill="FFFFCC"/>
          </w:tcPr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2018 г./И</w:t>
            </w:r>
            <w:r w:rsidRPr="00EB2358">
              <w:rPr>
                <w:sz w:val="20"/>
                <w:szCs w:val="20"/>
              </w:rPr>
              <w:t>зпълнение</w:t>
            </w:r>
          </w:p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  <w:p w:rsidR="00861250" w:rsidRPr="006B387E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250" w:rsidRPr="00EB2358" w:rsidTr="00CA17C2">
        <w:tc>
          <w:tcPr>
            <w:tcW w:w="3227" w:type="dxa"/>
          </w:tcPr>
          <w:p w:rsidR="00861250" w:rsidRPr="00A30AC0" w:rsidRDefault="00861250" w:rsidP="007D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мената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лужителите в 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СППРР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които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извършва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иране на сигнали за нередности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 не се оповестяват на бенефициента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между тях не се осъществява пря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к контакт</w:t>
            </w:r>
          </w:p>
        </w:tc>
        <w:tc>
          <w:tcPr>
            <w:tcW w:w="1701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861250" w:rsidRPr="00A30AC0" w:rsidRDefault="00861250" w:rsidP="00E97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015">
              <w:rPr>
                <w:rFonts w:ascii="Times New Roman" w:hAnsi="Times New Roman" w:cs="Times New Roman"/>
                <w:sz w:val="18"/>
                <w:szCs w:val="18"/>
              </w:rPr>
              <w:t>Защита на служителите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7015">
              <w:rPr>
                <w:rFonts w:ascii="Times New Roman" w:hAnsi="Times New Roman" w:cs="Times New Roman"/>
                <w:sz w:val="18"/>
                <w:szCs w:val="18"/>
              </w:rPr>
              <w:t>при изпълнение на служебните им задължения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61250" w:rsidRPr="00E97D41" w:rsidRDefault="00861250" w:rsidP="00D32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41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Default="00861250" w:rsidP="00715F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7D41">
              <w:rPr>
                <w:rFonts w:ascii="Times New Roman" w:hAnsi="Times New Roman" w:cs="Times New Roman"/>
                <w:bCs/>
                <w:sz w:val="18"/>
                <w:szCs w:val="18"/>
              </w:rPr>
              <w:t>Намаляване на възможни нарушения в процеса на администриране на сигнали за нередности</w:t>
            </w:r>
          </w:p>
          <w:p w:rsidR="00861250" w:rsidRPr="00E97D41" w:rsidRDefault="00861250" w:rsidP="0071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(брой установени нередности)</w:t>
            </w:r>
          </w:p>
        </w:tc>
        <w:tc>
          <w:tcPr>
            <w:tcW w:w="709" w:type="dxa"/>
          </w:tcPr>
          <w:p w:rsidR="00861250" w:rsidRPr="00A30AC0" w:rsidRDefault="00861250" w:rsidP="00E02B67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Среден</w:t>
            </w:r>
          </w:p>
        </w:tc>
        <w:tc>
          <w:tcPr>
            <w:tcW w:w="2127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директор, зам. г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лавен директор и началници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3010" w:type="dxa"/>
          </w:tcPr>
          <w:p w:rsidR="00861250" w:rsidRDefault="00861250" w:rsidP="00B22169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B22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861250" w:rsidRPr="00EB2358" w:rsidRDefault="00B22169" w:rsidP="00B2216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22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Не се допуска разпространение на имената на служителите, които извършват администриране на сигнали за нередности да стават известни на бенефициента с оглед защи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тата на личността на експертите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Въвеждане на нови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нтролни листове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„Проверка в системата „АРАХНЕ“. Въведен е изцяло нов контролен лист за законосъобразност на направено изменение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ъм сключен договор с изпълнител</w:t>
            </w:r>
          </w:p>
        </w:tc>
        <w:tc>
          <w:tcPr>
            <w:tcW w:w="1701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корупция при процеса на проверка на законосъобразното възлагане на обществената поръчка и сключения договор с изпълнител</w:t>
            </w:r>
          </w:p>
        </w:tc>
        <w:tc>
          <w:tcPr>
            <w:tcW w:w="1418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Етапи: всяка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календарна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година до 2023 г. (вкл.)</w:t>
            </w:r>
          </w:p>
        </w:tc>
        <w:tc>
          <w:tcPr>
            <w:tcW w:w="1559" w:type="dxa"/>
            <w:gridSpan w:val="2"/>
          </w:tcPr>
          <w:p w:rsidR="0086125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Намаляване на възможни нарушения в процеса на законосъобразното възлагане на обществената поръчка и сключения договор с изпълнител </w:t>
            </w:r>
          </w:p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(брой нарушения)</w:t>
            </w:r>
          </w:p>
        </w:tc>
        <w:tc>
          <w:tcPr>
            <w:tcW w:w="709" w:type="dxa"/>
          </w:tcPr>
          <w:p w:rsidR="00861250" w:rsidRPr="00A30AC0" w:rsidRDefault="00861250" w:rsidP="00E02B67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Среден</w:t>
            </w:r>
          </w:p>
        </w:tc>
        <w:tc>
          <w:tcPr>
            <w:tcW w:w="2127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7B6">
              <w:rPr>
                <w:rFonts w:ascii="Times New Roman" w:hAnsi="Times New Roman" w:cs="Times New Roman"/>
                <w:sz w:val="18"/>
                <w:szCs w:val="18"/>
              </w:rPr>
              <w:t>Главен директор, зам. главен директор и началници отдели в 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3010" w:type="dxa"/>
          </w:tcPr>
          <w:p w:rsidR="00861250" w:rsidRDefault="00861250" w:rsidP="000049F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F273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861250" w:rsidRPr="008F5EF9" w:rsidRDefault="00861250" w:rsidP="008F5EF9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F5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Въведени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са</w:t>
            </w:r>
            <w:r w:rsidRPr="008F5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43 броя нови контролни листа за проверка на възлагането на обществената поръчка и сключения договор с изпълнител, както и допълнителни контроли при извършване на предварителен контрол преди верификация за всички обществени поръчки, в раздел „Проверка в системата „АРАХНЕ“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861250" w:rsidRPr="008F5EF9" w:rsidRDefault="00861250" w:rsidP="008F5EF9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F5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 въвеждането на контролни листове за верификация и одобрение на искане за плащане от бенефициент е премахната възможността от прескачане на звено при вземане на решение за верифицирана и одобрена сума за плащане. Тези контролни листове позволяват лесно идентифициране на лицата, отговорни за вземане на решението.        </w:t>
            </w:r>
          </w:p>
          <w:p w:rsidR="00861250" w:rsidRPr="00EB2358" w:rsidRDefault="00861250" w:rsidP="008F5EF9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8F5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Приложените мерки са допринесли и за повишаване на прозрачността при извършване на дейностите, съблюдаване на принципа за добро управление, както и принципите на икономичност, ефикасност и ефективност при управление разходването на средствата от ЕС и националното съфинансиране.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Аутсорсване на процеса по верификация, когато  бенефициент е УО на ОПРР за осъществяване на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дейности по проверка и изготвяне на предложения за верификация на разходи по бюджетни линии по Приоритетна ос "Техническа помощ" на ОПРР 2014-2020 с бенефициент </w:t>
            </w:r>
            <w:r w:rsidRPr="00F547B6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</w:p>
        </w:tc>
        <w:tc>
          <w:tcPr>
            <w:tcW w:w="1701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Извършване на независима проверка на искания за плащане 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бюджетните линии, когато  бенефициент е УО на ОПРР</w:t>
            </w:r>
          </w:p>
        </w:tc>
        <w:tc>
          <w:tcPr>
            <w:tcW w:w="1418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за верифициране на средства: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31.12.2023 г.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br/>
              <w:t>Етапи: всяка година до 2023 г. (вкл.)</w:t>
            </w:r>
          </w:p>
        </w:tc>
        <w:tc>
          <w:tcPr>
            <w:tcW w:w="1559" w:type="dxa"/>
            <w:gridSpan w:val="2"/>
          </w:tcPr>
          <w:p w:rsidR="00861250" w:rsidRPr="00A30AC0" w:rsidRDefault="00861250" w:rsidP="00A77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Намаляване на възможни нарушения в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709" w:type="dxa"/>
          </w:tcPr>
          <w:p w:rsidR="00861250" w:rsidRPr="00A30AC0" w:rsidRDefault="00861250" w:rsidP="00A12D80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Среден</w:t>
            </w:r>
          </w:p>
        </w:tc>
        <w:tc>
          <w:tcPr>
            <w:tcW w:w="2127" w:type="dxa"/>
            <w:gridSpan w:val="2"/>
          </w:tcPr>
          <w:p w:rsidR="00861250" w:rsidRPr="00A30AC0" w:rsidRDefault="00861250" w:rsidP="00715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 xml:space="preserve">Началници на отдели - ползватели на бюджетните линии на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Приоритетна ос </w:t>
            </w:r>
            <w:r w:rsidRPr="00A30AC0">
              <w:rPr>
                <w:rFonts w:ascii="Times New Roman" w:hAnsi="Times New Roman" w:cs="Times New Roman"/>
                <w:sz w:val="18"/>
                <w:szCs w:val="18"/>
              </w:rPr>
              <w:t>"Техническа помощ"</w:t>
            </w:r>
            <w:r w:rsidRPr="00F547B6">
              <w:rPr>
                <w:rFonts w:ascii="Times New Roman" w:hAnsi="Times New Roman" w:cs="Times New Roman"/>
                <w:sz w:val="18"/>
                <w:szCs w:val="18"/>
              </w:rPr>
              <w:t xml:space="preserve"> в 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3010" w:type="dxa"/>
          </w:tcPr>
          <w:p w:rsidR="00861250" w:rsidRDefault="00861250" w:rsidP="00187E1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Мярката се изпълнява</w:t>
            </w:r>
            <w:r w:rsidR="00F273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.</w:t>
            </w:r>
          </w:p>
          <w:p w:rsidR="00861250" w:rsidRPr="00EB2358" w:rsidRDefault="00861250" w:rsidP="00187E1E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187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Верификаци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187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та на разходите по техническа помощ, когато </w:t>
            </w:r>
            <w:r w:rsidRPr="00187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 xml:space="preserve">бенефициент са отделите на ГД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</w:t>
            </w:r>
            <w:r w:rsidRPr="00187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СППРР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  <w:r w:rsidRPr="00187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се извършва от независима външна фирма, която документира извършените проверки, чрез попълване на контролни листове и подготвя доклад относно подлежащите на верификация разходи в дадено искане за плащане. На база на доклада, предоставен от външната фирма се извършват проверките в ИСУН 2020.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97443E" w:rsidRDefault="00861250" w:rsidP="0097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Промяна във вътрешните правила на дирекция „Технически правила и норми“ с оглед засилване на контрола при разработване на  нормативен акт</w:t>
            </w:r>
          </w:p>
        </w:tc>
        <w:tc>
          <w:tcPr>
            <w:tcW w:w="1701" w:type="dxa"/>
            <w:gridSpan w:val="2"/>
          </w:tcPr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Минимизиране на риска от въвеждане на  изисквания, които обслужват тесен кръг от лица при разработване на акта.</w:t>
            </w:r>
          </w:p>
        </w:tc>
        <w:tc>
          <w:tcPr>
            <w:tcW w:w="1418" w:type="dxa"/>
            <w:gridSpan w:val="2"/>
          </w:tcPr>
          <w:p w:rsidR="00861250" w:rsidRPr="0097443E" w:rsidRDefault="00861250" w:rsidP="00017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.2018 г. – 31.12.2018 г.</w:t>
            </w:r>
          </w:p>
        </w:tc>
        <w:tc>
          <w:tcPr>
            <w:tcW w:w="1559" w:type="dxa"/>
            <w:gridSpan w:val="2"/>
          </w:tcPr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Подадени жалби за незаконосъобразност на конкретно изискване на нормативен акт.</w:t>
            </w:r>
          </w:p>
        </w:tc>
        <w:tc>
          <w:tcPr>
            <w:tcW w:w="709" w:type="dxa"/>
          </w:tcPr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Ниска</w:t>
            </w:r>
          </w:p>
        </w:tc>
        <w:tc>
          <w:tcPr>
            <w:tcW w:w="2127" w:type="dxa"/>
            <w:gridSpan w:val="2"/>
          </w:tcPr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Началник на отдел „Хармонизация на техническата нормативна уредба“</w:t>
            </w:r>
          </w:p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„Технически правила и норми“</w:t>
            </w:r>
          </w:p>
        </w:tc>
        <w:tc>
          <w:tcPr>
            <w:tcW w:w="3010" w:type="dxa"/>
          </w:tcPr>
          <w:p w:rsidR="00C63F67" w:rsidRPr="002143FD" w:rsidRDefault="00C63F67" w:rsidP="00C63F6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63F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не е изпълнена поради необходимостта от цялостно изменение на Вътрешните правила на дирекция ТПН, свързани с Наредбата за общите изисквания към информационните системи, регистрите и елект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ронните административни услуги. </w:t>
            </w:r>
            <w:r w:rsidRPr="00C63F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Вътрешните правила на дирекция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</w:t>
            </w:r>
            <w:r w:rsidRPr="00C63F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ТПН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</w:t>
            </w:r>
            <w:r w:rsidRPr="00C63F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ще бъдат актуализирани през 2019 г.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D32DB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DB9">
              <w:rPr>
                <w:rFonts w:ascii="Times New Roman" w:hAnsi="Times New Roman" w:cs="Times New Roman"/>
                <w:sz w:val="18"/>
                <w:szCs w:val="18"/>
              </w:rPr>
              <w:t>Организиране на работни срещи на СГКК за обсъждане и налагане на добри практики в сферата на административното обслужване</w:t>
            </w:r>
          </w:p>
        </w:tc>
        <w:tc>
          <w:tcPr>
            <w:tcW w:w="1701" w:type="dxa"/>
            <w:gridSpan w:val="2"/>
          </w:tcPr>
          <w:p w:rsidR="00861250" w:rsidRPr="00D32DB9" w:rsidRDefault="00861250" w:rsidP="00CA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Организационен/ кадрови</w:t>
            </w:r>
          </w:p>
        </w:tc>
        <w:tc>
          <w:tcPr>
            <w:tcW w:w="1984" w:type="dxa"/>
          </w:tcPr>
          <w:p w:rsidR="00861250" w:rsidRPr="00D32DB9" w:rsidRDefault="00861250" w:rsidP="00D32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DB9">
              <w:rPr>
                <w:rFonts w:ascii="Times New Roman" w:hAnsi="Times New Roman" w:cs="Times New Roman"/>
                <w:sz w:val="18"/>
                <w:szCs w:val="18"/>
              </w:rPr>
              <w:t>Подобряване на работата на службите по кадастър. Намаляване на броя постъпили жалби. Уеднаквяване на прилагането на нормативната уредба</w:t>
            </w:r>
          </w:p>
        </w:tc>
        <w:tc>
          <w:tcPr>
            <w:tcW w:w="1418" w:type="dxa"/>
            <w:gridSpan w:val="2"/>
          </w:tcPr>
          <w:p w:rsidR="00861250" w:rsidRPr="0097443E" w:rsidRDefault="00861250" w:rsidP="00D32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559" w:type="dxa"/>
            <w:gridSpan w:val="2"/>
          </w:tcPr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Резултати от извършени проверки по отношение на административното обслужване</w:t>
            </w:r>
          </w:p>
        </w:tc>
        <w:tc>
          <w:tcPr>
            <w:tcW w:w="709" w:type="dxa"/>
          </w:tcPr>
          <w:p w:rsidR="00861250" w:rsidRPr="0097443E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Нисък</w:t>
            </w:r>
          </w:p>
        </w:tc>
        <w:tc>
          <w:tcPr>
            <w:tcW w:w="2127" w:type="dxa"/>
            <w:gridSpan w:val="2"/>
          </w:tcPr>
          <w:p w:rsidR="00861250" w:rsidRPr="00C37372" w:rsidRDefault="00861250" w:rsidP="00C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372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861250" w:rsidRPr="0097443E" w:rsidRDefault="00861250" w:rsidP="00C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372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„АПО“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0" w:type="dxa"/>
          </w:tcPr>
          <w:p w:rsidR="00306103" w:rsidRDefault="00306103" w:rsidP="001B0EA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861250" w:rsidRPr="0013175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="00861250" w:rsidRPr="0013175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="008612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. </w:t>
            </w:r>
          </w:p>
          <w:p w:rsidR="00861250" w:rsidRDefault="00861250" w:rsidP="001B0EA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Издадени указания от изпълнителния директор на АГКК за у</w:t>
            </w:r>
            <w:r w:rsidRPr="0013175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еднаквяване на прилагането на нормативната уредба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и подобряване на </w:t>
            </w:r>
            <w:r w:rsidRPr="00D32DB9">
              <w:rPr>
                <w:rFonts w:ascii="Times New Roman" w:hAnsi="Times New Roman" w:cs="Times New Roman"/>
                <w:sz w:val="18"/>
                <w:szCs w:val="18"/>
              </w:rPr>
              <w:t>административното обслужване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СГКК; </w:t>
            </w:r>
          </w:p>
          <w:p w:rsidR="00861250" w:rsidRPr="00926176" w:rsidRDefault="00861250" w:rsidP="001B0EA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о</w:t>
            </w:r>
            <w:r w:rsidRPr="00926176">
              <w:rPr>
                <w:rFonts w:ascii="Times New Roman" w:hAnsi="Times New Roman" w:cs="Times New Roman"/>
                <w:sz w:val="18"/>
                <w:szCs w:val="18"/>
              </w:rPr>
              <w:t>бучение по въвеждане на ИСО 9001:2015;</w:t>
            </w:r>
          </w:p>
          <w:p w:rsidR="00861250" w:rsidRDefault="00861250" w:rsidP="001B0EA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176">
              <w:rPr>
                <w:rFonts w:ascii="Times New Roman" w:hAnsi="Times New Roman" w:cs="Times New Roman"/>
                <w:sz w:val="18"/>
                <w:szCs w:val="18"/>
              </w:rPr>
              <w:t>Запознаване с проекта на ЗИД на ЗКИР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1250" w:rsidRPr="000171D8" w:rsidRDefault="00861250" w:rsidP="00306103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Спазване на изискванията на Н</w:t>
            </w:r>
            <w:r w:rsidR="00306103">
              <w:rPr>
                <w:rFonts w:ascii="Times New Roman" w:hAnsi="Times New Roman" w:cs="Times New Roman"/>
                <w:sz w:val="18"/>
                <w:szCs w:val="18"/>
              </w:rPr>
              <w:t>аредбата за административното обслужване</w:t>
            </w:r>
          </w:p>
        </w:tc>
      </w:tr>
      <w:tr w:rsidR="00861250" w:rsidRPr="00EB2358" w:rsidTr="00CA17C2">
        <w:tc>
          <w:tcPr>
            <w:tcW w:w="3227" w:type="dxa"/>
          </w:tcPr>
          <w:p w:rsidR="00861250" w:rsidRPr="001F18DC" w:rsidRDefault="00861250" w:rsidP="001F18DC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Изготвяне на вътрешни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правила, които не позволяват прескачане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ирекция „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 обслужване и системи за сигурност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МРРБ 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преди вземане на решени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свързани с информационните активи</w:t>
            </w:r>
          </w:p>
        </w:tc>
        <w:tc>
          <w:tcPr>
            <w:tcW w:w="1701" w:type="dxa"/>
            <w:gridSpan w:val="2"/>
          </w:tcPr>
          <w:p w:rsidR="00861250" w:rsidRPr="001F18DC" w:rsidRDefault="00861250" w:rsidP="00CA17C2">
            <w:pPr>
              <w:rPr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61250" w:rsidRPr="001F18DC" w:rsidRDefault="00861250" w:rsidP="001F18DC">
            <w:pPr>
              <w:rPr>
                <w:sz w:val="18"/>
                <w:szCs w:val="18"/>
              </w:rPr>
            </w:pP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Ефективно и ефикасно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на информационните активи</w:t>
            </w:r>
          </w:p>
        </w:tc>
        <w:tc>
          <w:tcPr>
            <w:tcW w:w="1418" w:type="dxa"/>
            <w:gridSpan w:val="2"/>
          </w:tcPr>
          <w:p w:rsidR="00861250" w:rsidRPr="001F18DC" w:rsidRDefault="00861250" w:rsidP="001F18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>10.2018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861250" w:rsidRPr="001F18DC" w:rsidRDefault="00861250" w:rsidP="00756754">
            <w:pPr>
              <w:ind w:righ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Брой съгласувани документи с директора на</w:t>
            </w:r>
            <w:r w:rsidRPr="001F18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дирекция „Информационно обслужване и системи за сигурност“</w:t>
            </w:r>
          </w:p>
        </w:tc>
        <w:tc>
          <w:tcPr>
            <w:tcW w:w="709" w:type="dxa"/>
          </w:tcPr>
          <w:p w:rsidR="00861250" w:rsidRPr="001F18DC" w:rsidRDefault="00861250" w:rsidP="00CA17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Нисък</w:t>
            </w:r>
          </w:p>
        </w:tc>
        <w:tc>
          <w:tcPr>
            <w:tcW w:w="2127" w:type="dxa"/>
            <w:gridSpan w:val="2"/>
          </w:tcPr>
          <w:p w:rsidR="00861250" w:rsidRPr="007B654D" w:rsidRDefault="00861250" w:rsidP="00CA17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54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на дирекция „Информационно обслужване и системи за сигурност“ (ИОСС);</w:t>
            </w:r>
          </w:p>
          <w:p w:rsidR="00861250" w:rsidRPr="007B654D" w:rsidRDefault="00861250" w:rsidP="001F18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54D">
              <w:rPr>
                <w:rFonts w:ascii="Times New Roman" w:eastAsia="Times New Roman" w:hAnsi="Times New Roman" w:cs="Times New Roman"/>
                <w:sz w:val="18"/>
                <w:szCs w:val="18"/>
              </w:rPr>
              <w:t>Веселин Пеев – главен експерт в отдел "Информационно обслужване"</w:t>
            </w:r>
          </w:p>
        </w:tc>
        <w:tc>
          <w:tcPr>
            <w:tcW w:w="3010" w:type="dxa"/>
          </w:tcPr>
          <w:p w:rsidR="00861250" w:rsidRDefault="006E1841" w:rsidP="001D6DB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6E18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не е изпълнена поради необходимост новите правила да бъдат съобразени с Вътрешни</w:t>
            </w:r>
            <w:r w:rsidR="001D6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те</w:t>
            </w:r>
            <w:r w:rsidRPr="006E18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правила за обмена на електронни документи и документи на хартиен носител в МРРБ, </w:t>
            </w:r>
            <w:r w:rsidR="001D6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които бяха въведени</w:t>
            </w:r>
            <w:r w:rsidRPr="006E18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във връзка с прилагане на задължителният обмен на електронни документи между ад</w:t>
            </w:r>
            <w:r w:rsidR="001D6D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министрациите от 01.11.2018 г.</w:t>
            </w:r>
          </w:p>
          <w:p w:rsidR="00483FD3" w:rsidRDefault="00483FD3" w:rsidP="001D6DB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  <w:p w:rsidR="00483FD3" w:rsidRPr="000171D8" w:rsidRDefault="00483FD3" w:rsidP="001D6DB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15735" w:type="dxa"/>
            <w:gridSpan w:val="12"/>
            <w:shd w:val="clear" w:color="auto" w:fill="92D050"/>
          </w:tcPr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lastRenderedPageBreak/>
              <w:t>Мерки за публичност</w:t>
            </w:r>
          </w:p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4532" w:type="dxa"/>
            <w:gridSpan w:val="2"/>
            <w:shd w:val="clear" w:color="auto" w:fill="FFFFCC"/>
          </w:tcPr>
          <w:p w:rsidR="00861250" w:rsidRPr="00EB2358" w:rsidRDefault="00861250" w:rsidP="00CF400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3676" w:type="dxa"/>
            <w:gridSpan w:val="3"/>
            <w:shd w:val="clear" w:color="auto" w:fill="FFFFCC"/>
          </w:tcPr>
          <w:p w:rsidR="00861250" w:rsidRPr="00EB2358" w:rsidRDefault="00861250" w:rsidP="00CF400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Срок за изпълнение и етапи</w:t>
            </w:r>
          </w:p>
        </w:tc>
        <w:tc>
          <w:tcPr>
            <w:tcW w:w="2390" w:type="dxa"/>
            <w:gridSpan w:val="4"/>
            <w:shd w:val="clear" w:color="auto" w:fill="FFFFCC"/>
          </w:tcPr>
          <w:p w:rsidR="00861250" w:rsidRPr="00EB2358" w:rsidRDefault="00861250" w:rsidP="00CF400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Отговорно</w:t>
            </w:r>
          </w:p>
          <w:p w:rsidR="00861250" w:rsidRPr="00EB2358" w:rsidRDefault="00861250" w:rsidP="00CF400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лице</w:t>
            </w:r>
          </w:p>
        </w:tc>
        <w:tc>
          <w:tcPr>
            <w:tcW w:w="5137" w:type="dxa"/>
            <w:gridSpan w:val="3"/>
            <w:shd w:val="clear" w:color="auto" w:fill="FFFFCC"/>
          </w:tcPr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2018 г./И</w:t>
            </w:r>
            <w:r w:rsidRPr="00EB2358">
              <w:rPr>
                <w:sz w:val="20"/>
                <w:szCs w:val="20"/>
              </w:rPr>
              <w:t>зпълнение</w:t>
            </w:r>
          </w:p>
          <w:p w:rsidR="00861250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  <w:p w:rsidR="00861250" w:rsidRPr="006B387E" w:rsidRDefault="00861250" w:rsidP="004558B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483FD3" w:rsidRDefault="00861250" w:rsidP="0048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FD3">
              <w:rPr>
                <w:rFonts w:ascii="Times New Roman" w:hAnsi="Times New Roman" w:cs="Times New Roman"/>
                <w:sz w:val="18"/>
                <w:szCs w:val="18"/>
              </w:rPr>
              <w:t>Редовно актуализиране на раздел „Антикорупция“ на интернет страницата на МРРБ, 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</w:p>
        </w:tc>
        <w:tc>
          <w:tcPr>
            <w:tcW w:w="3676" w:type="dxa"/>
            <w:gridSpan w:val="3"/>
          </w:tcPr>
          <w:p w:rsidR="00861250" w:rsidRPr="00483FD3" w:rsidRDefault="00861250" w:rsidP="00483FD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83FD3">
              <w:rPr>
                <w:sz w:val="18"/>
                <w:szCs w:val="18"/>
              </w:rPr>
              <w:t>Постоянен</w:t>
            </w:r>
          </w:p>
        </w:tc>
        <w:tc>
          <w:tcPr>
            <w:tcW w:w="2390" w:type="dxa"/>
            <w:gridSpan w:val="4"/>
          </w:tcPr>
          <w:p w:rsidR="00861250" w:rsidRPr="00483FD3" w:rsidRDefault="00861250" w:rsidP="0048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FD3">
              <w:rPr>
                <w:rFonts w:ascii="Times New Roman" w:hAnsi="Times New Roman" w:cs="Times New Roman"/>
                <w:sz w:val="18"/>
                <w:szCs w:val="18"/>
              </w:rPr>
              <w:t>Ръководител Инспекторат на МРРБ</w:t>
            </w:r>
          </w:p>
          <w:p w:rsidR="00861250" w:rsidRPr="00483FD3" w:rsidRDefault="00861250" w:rsidP="00483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7" w:type="dxa"/>
            <w:gridSpan w:val="3"/>
          </w:tcPr>
          <w:p w:rsidR="00861250" w:rsidRPr="00483FD3" w:rsidRDefault="00341184" w:rsidP="00483FD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Мярката </w:t>
            </w:r>
            <w:r w:rsidR="00861250" w:rsidRP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 изпълн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ен</w:t>
            </w:r>
            <w:r w:rsidR="00861250" w:rsidRP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</w:p>
          <w:p w:rsidR="004E35E6" w:rsidRPr="00483FD3" w:rsidRDefault="005F0A4D" w:rsidP="00F446D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 официалната интернет страница на МРРБ в раздел „Антикорупция“ са публикувани </w:t>
            </w:r>
            <w:r w:rsidR="00F446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„Вътрешни</w:t>
            </w:r>
            <w:r w:rsidRP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правила за организацията и реда за извършване на проверка на декларациите по Закона да противодействие на корупцията и за отнемане на незаконно придобитото имущество и за установяване на конфликт на интереси от Инспектората на МРРБ</w:t>
            </w:r>
            <w:r w:rsidR="00F446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“, които са утвърдени с</w:t>
            </w:r>
            <w:r w:rsidR="00F446DA" w:rsidRPr="00F446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ъс Заповед </w:t>
            </w:r>
            <w:r w:rsidR="00E232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на министъра </w:t>
            </w:r>
            <w:r w:rsidR="00F446DA" w:rsidRPr="00F446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№ РД-02-14-1097/</w:t>
            </w:r>
            <w:bookmarkStart w:id="0" w:name="_GoBack"/>
            <w:bookmarkEnd w:id="0"/>
            <w:r w:rsidR="00F446DA" w:rsidRPr="00F446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05.11.2018 г.</w:t>
            </w:r>
            <w:r w:rsidRP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; </w:t>
            </w:r>
            <w:r w:rsid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</w:t>
            </w:r>
            <w:r w:rsidRP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тчет за изпълнение на предвидените мерки в антикорупци</w:t>
            </w:r>
            <w:r w:rsidR="006222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онния план в МРРБ за 2018 г.</w:t>
            </w:r>
            <w:r w:rsid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;</w:t>
            </w:r>
            <w:r w:rsidRP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Публичен регистър на декларации</w:t>
            </w:r>
            <w:r w:rsidR="00483F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те по чл. 35, ал. 1 от ЗПКОНПИ</w:t>
            </w:r>
            <w:r w:rsidR="006222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; Антикорупционен план в МРРБ за 2019 г.,</w:t>
            </w:r>
            <w:r w:rsidR="006222D7">
              <w:t xml:space="preserve"> </w:t>
            </w:r>
            <w:r w:rsidR="006222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който са включени мерки и по отношение на</w:t>
            </w:r>
            <w:r w:rsidR="006222D7" w:rsidRPr="006222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второстепенните разпоредители с бюджет към министъра</w:t>
            </w: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1A55D0" w:rsidRDefault="00861250" w:rsidP="00D4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3676" w:type="dxa"/>
            <w:gridSpan w:val="3"/>
          </w:tcPr>
          <w:p w:rsidR="00861250" w:rsidRPr="001A55D0" w:rsidRDefault="00861250" w:rsidP="00446C5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</w:tc>
        <w:tc>
          <w:tcPr>
            <w:tcW w:w="2390" w:type="dxa"/>
            <w:gridSpan w:val="4"/>
          </w:tcPr>
          <w:p w:rsidR="00861250" w:rsidRDefault="00861250" w:rsidP="0092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на </w:t>
            </w:r>
            <w:r w:rsidRPr="00D47036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за национален строителен контрол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(ДНСК);</w:t>
            </w:r>
          </w:p>
          <w:p w:rsidR="00861250" w:rsidRDefault="00861250" w:rsidP="0092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„Оперативна дейност и контрол“ (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ОДК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250" w:rsidRPr="001A55D0" w:rsidRDefault="00861250" w:rsidP="0092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„Специализирано обслужване, регистър консултанти“ (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СОРК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7" w:type="dxa"/>
            <w:gridSpan w:val="3"/>
          </w:tcPr>
          <w:p w:rsidR="00861250" w:rsidRDefault="00861250" w:rsidP="000919A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</w:p>
          <w:p w:rsidR="000919A4" w:rsidRPr="00EB2358" w:rsidRDefault="000919A4" w:rsidP="00A34B2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Публичният регистър се актуализира ежемесечно </w:t>
            </w: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9215FC" w:rsidRDefault="00861250" w:rsidP="00446C54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3676" w:type="dxa"/>
            <w:gridSpan w:val="3"/>
          </w:tcPr>
          <w:p w:rsidR="00861250" w:rsidRDefault="00861250" w:rsidP="009215F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861250" w:rsidRPr="009215FC" w:rsidRDefault="00861250" w:rsidP="009215F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2390" w:type="dxa"/>
            <w:gridSpan w:val="4"/>
          </w:tcPr>
          <w:p w:rsidR="00861250" w:rsidRDefault="00861250" w:rsidP="0092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на ДНСК;</w:t>
            </w:r>
          </w:p>
          <w:p w:rsidR="00861250" w:rsidRDefault="00861250" w:rsidP="0092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„Финансово, а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дминистративно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правно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техническо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обслужване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(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ФАПТО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861250" w:rsidRPr="009215FC" w:rsidRDefault="00861250" w:rsidP="00921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Началник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„Административно- правно обслужване, координация и отчет“ (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АПОКО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37" w:type="dxa"/>
            <w:gridSpan w:val="3"/>
          </w:tcPr>
          <w:p w:rsidR="00861250" w:rsidRDefault="00861250" w:rsidP="000919A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</w:p>
          <w:p w:rsidR="000919A4" w:rsidRPr="00EB2358" w:rsidRDefault="000919A4" w:rsidP="00A34B2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Публичният регистър се актуализира ежемесечно </w:t>
            </w: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9215FC" w:rsidRDefault="00861250" w:rsidP="0044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Поддържане н</w:t>
            </w:r>
            <w:r w:rsidRPr="009215FC">
              <w:rPr>
                <w:rFonts w:ascii="Times New Roman" w:eastAsia="Times New Roman" w:hAnsi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3676" w:type="dxa"/>
            <w:gridSpan w:val="3"/>
          </w:tcPr>
          <w:p w:rsidR="00861250" w:rsidRDefault="00861250" w:rsidP="009215F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861250" w:rsidRPr="009215FC" w:rsidRDefault="00861250" w:rsidP="009215F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2390" w:type="dxa"/>
            <w:gridSpan w:val="4"/>
          </w:tcPr>
          <w:p w:rsidR="00861250" w:rsidRPr="006A622C" w:rsidRDefault="00861250" w:rsidP="006A6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Началник на ДНСК;</w:t>
            </w:r>
          </w:p>
          <w:p w:rsidR="00861250" w:rsidRPr="006A622C" w:rsidRDefault="00861250" w:rsidP="006A6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„ФАПТО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1250" w:rsidRPr="009215FC" w:rsidRDefault="00861250" w:rsidP="006A6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22C">
              <w:rPr>
                <w:rFonts w:ascii="Times New Roman" w:hAnsi="Times New Roman" w:cs="Times New Roman"/>
                <w:sz w:val="18"/>
                <w:szCs w:val="18"/>
              </w:rPr>
              <w:t>Началник отдел „АПОКО“</w:t>
            </w:r>
          </w:p>
        </w:tc>
        <w:tc>
          <w:tcPr>
            <w:tcW w:w="5137" w:type="dxa"/>
            <w:gridSpan w:val="3"/>
          </w:tcPr>
          <w:p w:rsidR="00861250" w:rsidRDefault="00861250" w:rsidP="000919A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се изпълнява</w:t>
            </w:r>
            <w:r w:rsid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постоянно</w:t>
            </w:r>
          </w:p>
          <w:p w:rsidR="000919A4" w:rsidRPr="00EB2358" w:rsidRDefault="000919A4" w:rsidP="00A34B2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Публичният регистър се актуализира ежемесечно </w:t>
            </w: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A717C9" w:rsidRDefault="00861250" w:rsidP="00446C5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Създаване на бутон „КОРУПЦИЯ“ на интернет страницата на АПИ</w:t>
            </w:r>
            <w:r w:rsidRPr="00A717C9">
              <w:rPr>
                <w:rFonts w:ascii="Times New Roman" w:hAnsi="Times New Roman" w:cs="Times New Roman"/>
                <w:sz w:val="18"/>
                <w:szCs w:val="18"/>
              </w:rPr>
              <w:t xml:space="preserve"> и у</w:t>
            </w: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съвършенстване на електронен механизъм за подаване на сигнали за корупция в т.ч конфликт на интереси, нередности</w:t>
            </w:r>
          </w:p>
        </w:tc>
        <w:tc>
          <w:tcPr>
            <w:tcW w:w="3676" w:type="dxa"/>
            <w:gridSpan w:val="3"/>
          </w:tcPr>
          <w:p w:rsidR="00861250" w:rsidRPr="00A717C9" w:rsidRDefault="00861250" w:rsidP="00446C5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01.03.2018 г. – 01.05.2018 г.</w:t>
            </w:r>
          </w:p>
        </w:tc>
        <w:tc>
          <w:tcPr>
            <w:tcW w:w="2390" w:type="dxa"/>
            <w:gridSpan w:val="4"/>
          </w:tcPr>
          <w:p w:rsidR="00861250" w:rsidRPr="00A717C9" w:rsidRDefault="00861250" w:rsidP="00100118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Председател на УС на АПИ; </w:t>
            </w:r>
          </w:p>
          <w:p w:rsidR="00861250" w:rsidRPr="00A717C9" w:rsidRDefault="00861250" w:rsidP="00100118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Директор на дирекция „Информационни технологии и системи“ </w:t>
            </w: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(ИТС)</w:t>
            </w:r>
          </w:p>
          <w:p w:rsidR="00861250" w:rsidRPr="00A717C9" w:rsidRDefault="00861250" w:rsidP="00100118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Директор на дирекция „АОЧРУС“</w:t>
            </w:r>
          </w:p>
          <w:p w:rsidR="00861250" w:rsidRPr="00A717C9" w:rsidRDefault="00861250" w:rsidP="00B66D98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Директор на дирекция „АРОК“</w:t>
            </w:r>
          </w:p>
        </w:tc>
        <w:tc>
          <w:tcPr>
            <w:tcW w:w="5137" w:type="dxa"/>
            <w:gridSpan w:val="3"/>
          </w:tcPr>
          <w:p w:rsidR="00861250" w:rsidRPr="00A717C9" w:rsidRDefault="00861250" w:rsidP="00CC2D3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lastRenderedPageBreak/>
              <w:t>На интернет страницата на АПИ са създадени бутони „Предложения и сигнали“ и „Сигнали за проекти на ЕС“ за подаване по електронен път на сигнали</w:t>
            </w:r>
            <w:r w:rsidRPr="00A717C9">
              <w:t xml:space="preserve"> </w:t>
            </w:r>
            <w:r w:rsidRPr="00A717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за корупция, конфликт на интереси и нередности по европейски програми</w:t>
            </w: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97443E" w:rsidRDefault="00861250" w:rsidP="007D2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Разработването от АГКК на проекти на нормативни актове да се извършва  с участието на представители на браншовите организации, професионалните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</w:t>
            </w: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 xml:space="preserve">ваните ведомства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по архитектура, строителство и геодезия (</w:t>
            </w: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УАСГ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6" w:type="dxa"/>
            <w:gridSpan w:val="3"/>
          </w:tcPr>
          <w:p w:rsidR="00861250" w:rsidRPr="0097443E" w:rsidRDefault="00861250" w:rsidP="00974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proofErr w:type="spellStart"/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.2018 г. – 31.12.2018 г.</w:t>
            </w:r>
          </w:p>
        </w:tc>
        <w:tc>
          <w:tcPr>
            <w:tcW w:w="2390" w:type="dxa"/>
            <w:gridSpan w:val="4"/>
          </w:tcPr>
          <w:p w:rsidR="00861250" w:rsidRPr="0097443E" w:rsidRDefault="00861250" w:rsidP="0097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861250" w:rsidRPr="0097443E" w:rsidRDefault="00861250" w:rsidP="00974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 w:rsidRPr="0097443E">
              <w:rPr>
                <w:rFonts w:ascii="Times New Roman" w:hAnsi="Times New Roman" w:cs="Times New Roman"/>
                <w:sz w:val="18"/>
                <w:szCs w:val="18"/>
              </w:rPr>
              <w:t>АПО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5137" w:type="dxa"/>
            <w:gridSpan w:val="3"/>
          </w:tcPr>
          <w:p w:rsidR="0061004A" w:rsidRDefault="0061004A" w:rsidP="00E746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Мярката е изпълнена.</w:t>
            </w:r>
          </w:p>
          <w:p w:rsidR="00861250" w:rsidRPr="00EB2358" w:rsidRDefault="00861250" w:rsidP="00E746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E746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Създадена </w:t>
            </w:r>
            <w:r w:rsidR="006100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е </w:t>
            </w:r>
            <w:r w:rsidRPr="00E746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съвместна работна група,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която е изготвила</w:t>
            </w:r>
            <w:r w:rsidRPr="00E746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проект на ЗИД на ЗКИР</w:t>
            </w:r>
            <w:r w:rsidR="009074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, с участието на </w:t>
            </w:r>
            <w:r w:rsidR="000012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представители на </w:t>
            </w:r>
            <w:r w:rsidR="009074A9" w:rsidRPr="009074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браншовите организации</w:t>
            </w:r>
            <w:r w:rsidR="000012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в сферата на кадастъра</w:t>
            </w:r>
          </w:p>
        </w:tc>
      </w:tr>
      <w:tr w:rsidR="00861250" w:rsidRPr="00EB2358" w:rsidTr="00CA17C2">
        <w:tc>
          <w:tcPr>
            <w:tcW w:w="15735" w:type="dxa"/>
            <w:gridSpan w:val="12"/>
            <w:shd w:val="clear" w:color="auto" w:fill="92D050"/>
          </w:tcPr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Обучения</w:t>
            </w:r>
          </w:p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4532" w:type="dxa"/>
            <w:gridSpan w:val="2"/>
            <w:shd w:val="clear" w:color="auto" w:fill="FFFFCC"/>
          </w:tcPr>
          <w:p w:rsidR="00861250" w:rsidRPr="00EB2358" w:rsidRDefault="00861250" w:rsidP="00CF400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Брой на проведените обучения</w:t>
            </w:r>
          </w:p>
        </w:tc>
        <w:tc>
          <w:tcPr>
            <w:tcW w:w="6066" w:type="dxa"/>
            <w:gridSpan w:val="7"/>
            <w:shd w:val="clear" w:color="auto" w:fill="FFFFCC"/>
          </w:tcPr>
          <w:p w:rsidR="00861250" w:rsidRPr="00EB2358" w:rsidRDefault="00861250" w:rsidP="00CC7D8A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Теми, по които са проведени обучения и броя на обучените по всяка тема служители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 длъжността им</w:t>
            </w:r>
          </w:p>
        </w:tc>
        <w:tc>
          <w:tcPr>
            <w:tcW w:w="5137" w:type="dxa"/>
            <w:gridSpan w:val="3"/>
            <w:shd w:val="clear" w:color="auto" w:fill="FFFFCC"/>
          </w:tcPr>
          <w:p w:rsidR="00861250" w:rsidRPr="00EB2358" w:rsidRDefault="00861250" w:rsidP="00CF4004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Индикатор</w:t>
            </w:r>
          </w:p>
        </w:tc>
      </w:tr>
      <w:tr w:rsidR="00A920E4" w:rsidRPr="00EB2358" w:rsidTr="00CA17C2">
        <w:tc>
          <w:tcPr>
            <w:tcW w:w="4532" w:type="dxa"/>
            <w:gridSpan w:val="2"/>
          </w:tcPr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През 201</w:t>
            </w:r>
            <w:r w:rsidRPr="00943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 г. са проведени </w:t>
            </w:r>
            <w:r w:rsidR="00943D95">
              <w:rPr>
                <w:rFonts w:ascii="Times New Roman" w:hAnsi="Times New Roman" w:cs="Times New Roman"/>
                <w:sz w:val="18"/>
                <w:szCs w:val="18"/>
              </w:rPr>
              <w:t xml:space="preserve">пет </w:t>
            </w: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обучения по </w:t>
            </w:r>
            <w:r w:rsidR="00943D95" w:rsidRPr="00943D95">
              <w:rPr>
                <w:rFonts w:ascii="Times New Roman" w:hAnsi="Times New Roman" w:cs="Times New Roman"/>
                <w:sz w:val="18"/>
                <w:szCs w:val="18"/>
              </w:rPr>
              <w:t>различни</w:t>
            </w: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 теми</w:t>
            </w:r>
            <w:r w:rsidR="00943D95"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 с антикорупционна насоченост</w:t>
            </w: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gridSpan w:val="7"/>
          </w:tcPr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„Етика и противодействие на корупционния риск“ – 1 служител (младши експерт) проведен от ИПА</w:t>
            </w:r>
          </w:p>
          <w:p w:rsidR="00A920E4" w:rsidRPr="00943D95" w:rsidRDefault="00A920E4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„Антикорупция“ – 1 служител (държавен експерт); проведен от </w:t>
            </w: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ab/>
              <w:t>ВА „Г. С. Раковски“</w:t>
            </w: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„Добри практики при прилагането на Закона за обществените поръчки“ – 2 служители (старши юрисконсулт); проведен от „Център за обучение и квалификация“</w:t>
            </w: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0E4" w:rsidRPr="00943D95" w:rsidRDefault="00A920E4" w:rsidP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„Прилагане на Закона за обществените поръчки“ – 15 служители (началник отдел; 3 бр. главен юрисконсулт; 3 бр. старши юрисконсулт; 1 бр. държавен експерт; 2 бр. главен експерт; 3 бр. старши експерт; ); проведен от ИПА; 1 бр. старши вътрешен </w:t>
            </w:r>
            <w:proofErr w:type="spellStart"/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одитор</w:t>
            </w:r>
            <w:proofErr w:type="spellEnd"/>
            <w:r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 и 1 бр. старши сътрудник по УЕПП</w:t>
            </w:r>
          </w:p>
          <w:p w:rsidR="00514133" w:rsidRPr="00943D95" w:rsidRDefault="00514133" w:rsidP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133" w:rsidRPr="00943D95" w:rsidRDefault="00514133" w:rsidP="00514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„Мониторинг</w:t>
            </w:r>
            <w:r w:rsidRPr="00943D95">
              <w:t xml:space="preserve"> </w:t>
            </w: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на проекти, финансирани от ЕСИФ –</w:t>
            </w:r>
          </w:p>
          <w:p w:rsidR="00514133" w:rsidRPr="00943D95" w:rsidRDefault="00514133" w:rsidP="00514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прилагане на мерки за борба с измамите“ – служителите в ГД „СППРР“</w:t>
            </w:r>
          </w:p>
        </w:tc>
        <w:tc>
          <w:tcPr>
            <w:tcW w:w="5137" w:type="dxa"/>
            <w:gridSpan w:val="3"/>
          </w:tcPr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>Понижаване праговете на търпимост спрямо корупционни практики в държавната администрация и умения за ра</w:t>
            </w:r>
            <w:r w:rsidR="00646791" w:rsidRPr="00943D95">
              <w:rPr>
                <w:rFonts w:ascii="Times New Roman" w:hAnsi="Times New Roman" w:cs="Times New Roman"/>
                <w:sz w:val="18"/>
                <w:szCs w:val="18"/>
              </w:rPr>
              <w:t>зкриване и докладване на нарушения</w:t>
            </w:r>
            <w:r w:rsidRPr="00943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20E4" w:rsidRPr="00943D95" w:rsidRDefault="00A920E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61250" w:rsidRPr="00EB2358" w:rsidTr="00CA17C2">
        <w:tc>
          <w:tcPr>
            <w:tcW w:w="15735" w:type="dxa"/>
            <w:gridSpan w:val="12"/>
            <w:shd w:val="clear" w:color="auto" w:fill="92D050"/>
          </w:tcPr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Посочване на възможни начини за подаване на сигнали</w:t>
            </w:r>
          </w:p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4532" w:type="dxa"/>
            <w:gridSpan w:val="2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3676" w:type="dxa"/>
            <w:gridSpan w:val="3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proofErr w:type="spellStart"/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E-mail</w:t>
            </w:r>
            <w:proofErr w:type="spellEnd"/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1660" w:type="dxa"/>
            <w:gridSpan w:val="2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Телефонен номер</w:t>
            </w:r>
          </w:p>
        </w:tc>
        <w:tc>
          <w:tcPr>
            <w:tcW w:w="2857" w:type="dxa"/>
            <w:gridSpan w:val="4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3010" w:type="dxa"/>
            <w:shd w:val="clear" w:color="auto" w:fill="FFFFCC"/>
          </w:tcPr>
          <w:p w:rsidR="00861250" w:rsidRPr="00EB2358" w:rsidRDefault="00861250" w:rsidP="00A7729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Други</w:t>
            </w: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C34148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МРРБ – гр. София 1202, </w:t>
            </w:r>
            <w:r w:rsidRPr="00C341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ул.“Св.</w:t>
            </w:r>
            <w:proofErr w:type="spellStart"/>
            <w:r w:rsidRPr="00C341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Св</w:t>
            </w:r>
            <w:proofErr w:type="spellEnd"/>
            <w:r w:rsidRPr="00C341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. Кирил и Методий“ 17-19;</w:t>
            </w:r>
          </w:p>
          <w:p w:rsidR="00861250" w:rsidRPr="00C34148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61250" w:rsidRPr="00C34148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61250" w:rsidRPr="00C34148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61250" w:rsidRPr="00C34148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61250" w:rsidRPr="00C34148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61250" w:rsidRPr="00C34148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861250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4634BC" w:rsidRDefault="004634BC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ГД „СППРР“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към МРРБ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–</w:t>
            </w:r>
          </w:p>
          <w:p w:rsidR="00861250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София 1303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,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бул. "Тодор Александров" 109-115</w:t>
            </w:r>
          </w:p>
          <w:p w:rsidR="004634BC" w:rsidRDefault="004634BC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„УТС“ към МРРБ – </w:t>
            </w:r>
          </w:p>
          <w:p w:rsidR="00861250" w:rsidRPr="00B952CD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676" w:type="dxa"/>
            <w:gridSpan w:val="3"/>
          </w:tcPr>
          <w:p w:rsidR="00861250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lastRenderedPageBreak/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: </w:t>
            </w:r>
            <w:hyperlink r:id="rId7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anticorr@mrrb.government.bg</w:t>
              </w:r>
            </w:hyperlink>
          </w:p>
          <w:p w:rsidR="00861250" w:rsidRDefault="00E232A8" w:rsidP="00A7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8" w:history="1">
              <w:r w:rsidR="00861250"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inspektorat@mrrb.government.bg</w:t>
              </w:r>
            </w:hyperlink>
          </w:p>
          <w:p w:rsidR="00861250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861250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861250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861250" w:rsidRDefault="00E232A8" w:rsidP="00A7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9" w:history="1">
              <w:r w:rsidR="00861250" w:rsidRPr="00E13BA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http://www.bgregio.eu/izpalnenie-na-dogovori/signali-za-nerednosti.aspx</w:t>
              </w:r>
            </w:hyperlink>
            <w:r w:rsidR="00861250" w:rsidRPr="00B95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  <w:r w:rsidR="00861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</w:p>
          <w:p w:rsidR="00861250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861250" w:rsidRPr="00B952CD" w:rsidRDefault="00E232A8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hyperlink r:id="rId10" w:history="1">
              <w:r w:rsidR="00861250" w:rsidRPr="00E13BA4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mkrasteva@mrrb.government.bg</w:t>
              </w:r>
            </w:hyperlink>
            <w:r w:rsidR="0086125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861250" w:rsidRPr="00B952CD" w:rsidRDefault="00E232A8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hyperlink r:id="rId11" w:history="1">
              <w:r w:rsidR="00861250" w:rsidRPr="00E13BA4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sdilkovski@mrrb.government.bg</w:t>
              </w:r>
            </w:hyperlink>
            <w:r w:rsidR="0086125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  <w:p w:rsidR="00861250" w:rsidRPr="00FC7083" w:rsidRDefault="00E232A8" w:rsidP="00B952C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bg-BG" w:bidi="bg-BG"/>
              </w:rPr>
            </w:pPr>
            <w:hyperlink r:id="rId12" w:history="1">
              <w:r w:rsidR="00861250" w:rsidRPr="00223103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ideneva@mrrb.government.bg</w:t>
              </w:r>
            </w:hyperlink>
            <w:r w:rsidR="0086125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Pr="00B952CD" w:rsidRDefault="00861250" w:rsidP="00A772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080011918</w:t>
            </w:r>
          </w:p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Pr="00B952CD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02/ 9405 439                           </w:t>
            </w:r>
          </w:p>
          <w:p w:rsidR="00861250" w:rsidRPr="00B952CD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Факс: 02/ 9405 383</w:t>
            </w:r>
          </w:p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861250" w:rsidRPr="00B952CD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05 493</w:t>
            </w:r>
          </w:p>
          <w:p w:rsidR="00861250" w:rsidRPr="00B952CD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05 593</w:t>
            </w:r>
          </w:p>
          <w:p w:rsidR="00861250" w:rsidRPr="00B952CD" w:rsidRDefault="00861250" w:rsidP="00B952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 05 543</w:t>
            </w:r>
          </w:p>
        </w:tc>
        <w:tc>
          <w:tcPr>
            <w:tcW w:w="2857" w:type="dxa"/>
            <w:gridSpan w:val="4"/>
          </w:tcPr>
          <w:p w:rsidR="00861250" w:rsidRPr="00390970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861250" w:rsidRDefault="00861250" w:rsidP="00A7729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861250" w:rsidRPr="0075636C" w:rsidRDefault="00861250" w:rsidP="004634BC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3010" w:type="dxa"/>
          </w:tcPr>
          <w:p w:rsidR="004634BC" w:rsidRPr="00390970" w:rsidRDefault="004634BC" w:rsidP="004634B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 Центъра за обслужване на клиенти в МРРБ е поставена кутия за мнения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коментари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 граждани</w:t>
            </w:r>
          </w:p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lastRenderedPageBreak/>
              <w:t xml:space="preserve">Агенция „Пътна инфраструктура“ – </w:t>
            </w:r>
          </w:p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861250" w:rsidRPr="00B952CD" w:rsidRDefault="00861250" w:rsidP="00B952CD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676" w:type="dxa"/>
            <w:gridSpan w:val="3"/>
          </w:tcPr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>
              <w:t xml:space="preserve"> </w:t>
            </w:r>
            <w:hyperlink r:id="rId13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signali@api.bg</w:t>
              </w:r>
            </w:hyperlink>
          </w:p>
        </w:tc>
        <w:tc>
          <w:tcPr>
            <w:tcW w:w="1660" w:type="dxa"/>
            <w:gridSpan w:val="2"/>
          </w:tcPr>
          <w:p w:rsidR="00861250" w:rsidRDefault="00861250" w:rsidP="00B95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0800 130 10</w:t>
            </w:r>
          </w:p>
          <w:p w:rsidR="00861250" w:rsidRPr="005D7088" w:rsidRDefault="00861250" w:rsidP="00B95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0700 130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  <w:p w:rsidR="00861250" w:rsidRPr="00B952CD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2857" w:type="dxa"/>
            <w:gridSpan w:val="4"/>
          </w:tcPr>
          <w:p w:rsidR="00861250" w:rsidRPr="00B952CD" w:rsidRDefault="00861250" w:rsidP="00B952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3010" w:type="dxa"/>
          </w:tcPr>
          <w:p w:rsidR="00861250" w:rsidRPr="00EB2358" w:rsidRDefault="00861250" w:rsidP="001407B7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по геодезия, картография и кадастър – </w:t>
            </w:r>
          </w:p>
          <w:p w:rsidR="00861250" w:rsidRPr="00B952CD" w:rsidRDefault="00861250" w:rsidP="00A7729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1618, кв. „Павлово“, ул. „Мусала“ 1</w:t>
            </w:r>
          </w:p>
          <w:p w:rsidR="00861250" w:rsidRPr="00B952CD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676" w:type="dxa"/>
            <w:gridSpan w:val="3"/>
          </w:tcPr>
          <w:p w:rsidR="00861250" w:rsidRDefault="00861250" w:rsidP="00B952CD">
            <w:pPr>
              <w:widowControl w:val="0"/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>
              <w:t xml:space="preserve"> </w:t>
            </w:r>
          </w:p>
          <w:p w:rsidR="00861250" w:rsidRPr="00EB2358" w:rsidRDefault="00E232A8" w:rsidP="00B952CD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14" w:history="1">
              <w:r w:rsidR="00861250"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acad@cadastre.bg</w:t>
              </w:r>
            </w:hyperlink>
          </w:p>
        </w:tc>
        <w:tc>
          <w:tcPr>
            <w:tcW w:w="1660" w:type="dxa"/>
            <w:gridSpan w:val="2"/>
          </w:tcPr>
          <w:p w:rsidR="00861250" w:rsidRPr="00B952CD" w:rsidRDefault="00861250" w:rsidP="00B95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</w:p>
          <w:p w:rsidR="00861250" w:rsidRPr="00B952CD" w:rsidRDefault="00861250" w:rsidP="00B95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02/818 83 </w:t>
            </w:r>
            <w:proofErr w:type="spellStart"/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  <w:proofErr w:type="spellEnd"/>
          </w:p>
          <w:p w:rsidR="00861250" w:rsidRPr="00B952CD" w:rsidRDefault="00861250" w:rsidP="00B95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45</w:t>
            </w:r>
          </w:p>
          <w:p w:rsidR="00861250" w:rsidRPr="00B952CD" w:rsidRDefault="00861250" w:rsidP="00B952C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38</w:t>
            </w:r>
          </w:p>
        </w:tc>
        <w:tc>
          <w:tcPr>
            <w:tcW w:w="2857" w:type="dxa"/>
            <w:gridSpan w:val="4"/>
          </w:tcPr>
          <w:p w:rsidR="00861250" w:rsidRPr="00B952CD" w:rsidRDefault="00861250" w:rsidP="00B952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клиенти е поставена кутия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  <w:p w:rsidR="00861250" w:rsidRPr="00B952CD" w:rsidRDefault="00861250" w:rsidP="00B952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010" w:type="dxa"/>
          </w:tcPr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B952CD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– </w:t>
            </w:r>
          </w:p>
          <w:p w:rsidR="00861250" w:rsidRPr="00B952CD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676" w:type="dxa"/>
            <w:gridSpan w:val="3"/>
          </w:tcPr>
          <w:p w:rsidR="00861250" w:rsidRPr="004D2AEE" w:rsidRDefault="00861250" w:rsidP="00B952CD">
            <w:pPr>
              <w:widowControl w:val="0"/>
              <w:rPr>
                <w:rFonts w:ascii="Calibri" w:hAnsi="Calibri"/>
                <w:b/>
                <w:bCs/>
              </w:rPr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 w:rsidRPr="004D2AE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hyperlink r:id="rId15" w:history="1">
              <w:r w:rsidRPr="004D2AE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 w:bidi="bg-BG"/>
                </w:rPr>
                <w:t>coruption@dnsk.bg</w:t>
              </w:r>
            </w:hyperlink>
          </w:p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660" w:type="dxa"/>
            <w:gridSpan w:val="2"/>
          </w:tcPr>
          <w:p w:rsidR="00861250" w:rsidRPr="00B952CD" w:rsidRDefault="00861250" w:rsidP="00B952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861250" w:rsidRPr="00B952CD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2857" w:type="dxa"/>
            <w:gridSpan w:val="4"/>
          </w:tcPr>
          <w:p w:rsidR="00861250" w:rsidRPr="00B952CD" w:rsidRDefault="00861250" w:rsidP="00B952C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3010" w:type="dxa"/>
          </w:tcPr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61250" w:rsidRPr="00EB2358" w:rsidTr="00CA17C2">
        <w:tc>
          <w:tcPr>
            <w:tcW w:w="15735" w:type="dxa"/>
            <w:gridSpan w:val="12"/>
            <w:shd w:val="clear" w:color="auto" w:fill="92D050"/>
          </w:tcPr>
          <w:p w:rsidR="00861250" w:rsidRPr="00EB2358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Мерки за защита на лицата, подали сигнали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</w:t>
            </w:r>
          </w:p>
        </w:tc>
      </w:tr>
      <w:tr w:rsidR="00861250" w:rsidRPr="00EB2358" w:rsidTr="00CA17C2">
        <w:tc>
          <w:tcPr>
            <w:tcW w:w="4532" w:type="dxa"/>
            <w:gridSpan w:val="2"/>
          </w:tcPr>
          <w:p w:rsidR="00861250" w:rsidRPr="004634BC" w:rsidRDefault="00861250" w:rsidP="00A7729B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463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Същност на мерките</w:t>
            </w:r>
          </w:p>
        </w:tc>
        <w:tc>
          <w:tcPr>
            <w:tcW w:w="11203" w:type="dxa"/>
            <w:gridSpan w:val="10"/>
          </w:tcPr>
          <w:p w:rsidR="00861250" w:rsidRPr="004634BC" w:rsidRDefault="00861250" w:rsidP="00D040D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4634B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Със Заповед № РД-02-14-1097/05.11.2018 г. на министъра на регионалното развитие и благоустройството са утвърдени „Вътрешни правила за организацията и реда за извършване на проверка на декларациите по Закона да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 </w:t>
            </w:r>
          </w:p>
        </w:tc>
      </w:tr>
    </w:tbl>
    <w:p w:rsidR="0004284C" w:rsidRPr="00EB2358" w:rsidRDefault="0004284C" w:rsidP="004D26F0"/>
    <w:sectPr w:rsidR="0004284C" w:rsidRPr="00EB2358" w:rsidSect="009E4879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23D"/>
    <w:multiLevelType w:val="hybridMultilevel"/>
    <w:tmpl w:val="F5545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5BEF"/>
    <w:multiLevelType w:val="hybridMultilevel"/>
    <w:tmpl w:val="27C64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0C8"/>
    <w:multiLevelType w:val="hybridMultilevel"/>
    <w:tmpl w:val="6AD6F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3C63"/>
    <w:multiLevelType w:val="hybridMultilevel"/>
    <w:tmpl w:val="AE9E8C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2"/>
    <w:rsid w:val="00001219"/>
    <w:rsid w:val="000049F1"/>
    <w:rsid w:val="000168C6"/>
    <w:rsid w:val="000171D8"/>
    <w:rsid w:val="000402EA"/>
    <w:rsid w:val="0004284C"/>
    <w:rsid w:val="000919A4"/>
    <w:rsid w:val="000A1638"/>
    <w:rsid w:val="000B3A58"/>
    <w:rsid w:val="000B78E4"/>
    <w:rsid w:val="000B7E79"/>
    <w:rsid w:val="000D2B27"/>
    <w:rsid w:val="000D3044"/>
    <w:rsid w:val="000E12B9"/>
    <w:rsid w:val="000E51B4"/>
    <w:rsid w:val="000E5613"/>
    <w:rsid w:val="00100118"/>
    <w:rsid w:val="0010263B"/>
    <w:rsid w:val="00104387"/>
    <w:rsid w:val="0013175E"/>
    <w:rsid w:val="001407B7"/>
    <w:rsid w:val="00145EDD"/>
    <w:rsid w:val="00152109"/>
    <w:rsid w:val="001602DC"/>
    <w:rsid w:val="00166E12"/>
    <w:rsid w:val="00187E1E"/>
    <w:rsid w:val="001A0A88"/>
    <w:rsid w:val="001A55D0"/>
    <w:rsid w:val="001B0EA1"/>
    <w:rsid w:val="001D385C"/>
    <w:rsid w:val="001D6DB9"/>
    <w:rsid w:val="001F18DC"/>
    <w:rsid w:val="001F4963"/>
    <w:rsid w:val="001F6504"/>
    <w:rsid w:val="002143FD"/>
    <w:rsid w:val="00232F05"/>
    <w:rsid w:val="002419EC"/>
    <w:rsid w:val="002477F0"/>
    <w:rsid w:val="00261D13"/>
    <w:rsid w:val="0026221F"/>
    <w:rsid w:val="002639E0"/>
    <w:rsid w:val="00267D3E"/>
    <w:rsid w:val="00277F94"/>
    <w:rsid w:val="00291A5F"/>
    <w:rsid w:val="00296E65"/>
    <w:rsid w:val="002A125A"/>
    <w:rsid w:val="002D3CB1"/>
    <w:rsid w:val="00306103"/>
    <w:rsid w:val="00315D5F"/>
    <w:rsid w:val="0032393D"/>
    <w:rsid w:val="00331DFA"/>
    <w:rsid w:val="00335798"/>
    <w:rsid w:val="003361AD"/>
    <w:rsid w:val="00336868"/>
    <w:rsid w:val="00341184"/>
    <w:rsid w:val="00360529"/>
    <w:rsid w:val="0036400E"/>
    <w:rsid w:val="0036641E"/>
    <w:rsid w:val="00367D8A"/>
    <w:rsid w:val="003726C0"/>
    <w:rsid w:val="00390970"/>
    <w:rsid w:val="00392A00"/>
    <w:rsid w:val="003936A5"/>
    <w:rsid w:val="003B47A4"/>
    <w:rsid w:val="003C191D"/>
    <w:rsid w:val="003C254B"/>
    <w:rsid w:val="003D2928"/>
    <w:rsid w:val="003E529A"/>
    <w:rsid w:val="003F7F4F"/>
    <w:rsid w:val="00416063"/>
    <w:rsid w:val="00424385"/>
    <w:rsid w:val="004245CD"/>
    <w:rsid w:val="0042686F"/>
    <w:rsid w:val="00427641"/>
    <w:rsid w:val="00432281"/>
    <w:rsid w:val="004420C8"/>
    <w:rsid w:val="00446C54"/>
    <w:rsid w:val="004558B0"/>
    <w:rsid w:val="004634BC"/>
    <w:rsid w:val="00482631"/>
    <w:rsid w:val="00483FD3"/>
    <w:rsid w:val="004C3199"/>
    <w:rsid w:val="004C31B1"/>
    <w:rsid w:val="004C4104"/>
    <w:rsid w:val="004D26F0"/>
    <w:rsid w:val="004D3E80"/>
    <w:rsid w:val="004E35E6"/>
    <w:rsid w:val="004E6BA1"/>
    <w:rsid w:val="004E6C5A"/>
    <w:rsid w:val="0050368A"/>
    <w:rsid w:val="005113CC"/>
    <w:rsid w:val="00514133"/>
    <w:rsid w:val="00523CD2"/>
    <w:rsid w:val="00527092"/>
    <w:rsid w:val="005277D9"/>
    <w:rsid w:val="0053031E"/>
    <w:rsid w:val="00546F76"/>
    <w:rsid w:val="00550520"/>
    <w:rsid w:val="005A2256"/>
    <w:rsid w:val="005B3D8B"/>
    <w:rsid w:val="005B7516"/>
    <w:rsid w:val="005D0F51"/>
    <w:rsid w:val="005D7088"/>
    <w:rsid w:val="005F0A4D"/>
    <w:rsid w:val="0061004A"/>
    <w:rsid w:val="006222D7"/>
    <w:rsid w:val="00640BC7"/>
    <w:rsid w:val="00646791"/>
    <w:rsid w:val="00647198"/>
    <w:rsid w:val="0065127F"/>
    <w:rsid w:val="00683EE5"/>
    <w:rsid w:val="00695CEC"/>
    <w:rsid w:val="006A622C"/>
    <w:rsid w:val="006B387E"/>
    <w:rsid w:val="006B722E"/>
    <w:rsid w:val="006D4C6E"/>
    <w:rsid w:val="006E1841"/>
    <w:rsid w:val="006F6967"/>
    <w:rsid w:val="007025B4"/>
    <w:rsid w:val="00712D6C"/>
    <w:rsid w:val="00715F0F"/>
    <w:rsid w:val="0073208B"/>
    <w:rsid w:val="007415EA"/>
    <w:rsid w:val="00756754"/>
    <w:rsid w:val="007A0966"/>
    <w:rsid w:val="007B654D"/>
    <w:rsid w:val="007C0967"/>
    <w:rsid w:val="007C499F"/>
    <w:rsid w:val="007D2235"/>
    <w:rsid w:val="007D7015"/>
    <w:rsid w:val="007F2261"/>
    <w:rsid w:val="00810BD7"/>
    <w:rsid w:val="00817BAC"/>
    <w:rsid w:val="008326FF"/>
    <w:rsid w:val="008347FA"/>
    <w:rsid w:val="008438B8"/>
    <w:rsid w:val="0085115D"/>
    <w:rsid w:val="00860454"/>
    <w:rsid w:val="00861250"/>
    <w:rsid w:val="008B3725"/>
    <w:rsid w:val="008C2CDC"/>
    <w:rsid w:val="008D1EF0"/>
    <w:rsid w:val="008D2888"/>
    <w:rsid w:val="008D2B45"/>
    <w:rsid w:val="008E1E64"/>
    <w:rsid w:val="008F5EF9"/>
    <w:rsid w:val="009074A9"/>
    <w:rsid w:val="0091581C"/>
    <w:rsid w:val="009215FC"/>
    <w:rsid w:val="00926176"/>
    <w:rsid w:val="00927721"/>
    <w:rsid w:val="00930754"/>
    <w:rsid w:val="00943D95"/>
    <w:rsid w:val="0097443E"/>
    <w:rsid w:val="00976D80"/>
    <w:rsid w:val="009803CF"/>
    <w:rsid w:val="0099005B"/>
    <w:rsid w:val="009949D5"/>
    <w:rsid w:val="009B539C"/>
    <w:rsid w:val="009D1FC7"/>
    <w:rsid w:val="009D7321"/>
    <w:rsid w:val="009E057D"/>
    <w:rsid w:val="009E1D67"/>
    <w:rsid w:val="009E4879"/>
    <w:rsid w:val="009E6130"/>
    <w:rsid w:val="009E6368"/>
    <w:rsid w:val="009F013E"/>
    <w:rsid w:val="00A12D80"/>
    <w:rsid w:val="00A208A8"/>
    <w:rsid w:val="00A30AC0"/>
    <w:rsid w:val="00A3231D"/>
    <w:rsid w:val="00A33AE7"/>
    <w:rsid w:val="00A34B2A"/>
    <w:rsid w:val="00A419AA"/>
    <w:rsid w:val="00A525C0"/>
    <w:rsid w:val="00A717C9"/>
    <w:rsid w:val="00A7729B"/>
    <w:rsid w:val="00A920E4"/>
    <w:rsid w:val="00A9708F"/>
    <w:rsid w:val="00AB76A8"/>
    <w:rsid w:val="00AB7AAB"/>
    <w:rsid w:val="00AD315C"/>
    <w:rsid w:val="00AE7D0F"/>
    <w:rsid w:val="00AF6117"/>
    <w:rsid w:val="00B22169"/>
    <w:rsid w:val="00B2474E"/>
    <w:rsid w:val="00B267C6"/>
    <w:rsid w:val="00B30E34"/>
    <w:rsid w:val="00B342DB"/>
    <w:rsid w:val="00B371DB"/>
    <w:rsid w:val="00B4144E"/>
    <w:rsid w:val="00B47C55"/>
    <w:rsid w:val="00B61AA1"/>
    <w:rsid w:val="00B66D98"/>
    <w:rsid w:val="00B80184"/>
    <w:rsid w:val="00B80D17"/>
    <w:rsid w:val="00B83DC9"/>
    <w:rsid w:val="00B86E3B"/>
    <w:rsid w:val="00B952CD"/>
    <w:rsid w:val="00B97679"/>
    <w:rsid w:val="00BA4619"/>
    <w:rsid w:val="00BA53BC"/>
    <w:rsid w:val="00BB5DB7"/>
    <w:rsid w:val="00BC66BC"/>
    <w:rsid w:val="00BD1648"/>
    <w:rsid w:val="00BD718C"/>
    <w:rsid w:val="00BD7D00"/>
    <w:rsid w:val="00BE5ADD"/>
    <w:rsid w:val="00BF1B80"/>
    <w:rsid w:val="00BF5DC5"/>
    <w:rsid w:val="00BF72E2"/>
    <w:rsid w:val="00BF7DCA"/>
    <w:rsid w:val="00C067A1"/>
    <w:rsid w:val="00C07ECF"/>
    <w:rsid w:val="00C37372"/>
    <w:rsid w:val="00C463E7"/>
    <w:rsid w:val="00C63F67"/>
    <w:rsid w:val="00C766D3"/>
    <w:rsid w:val="00C852FB"/>
    <w:rsid w:val="00C93EF2"/>
    <w:rsid w:val="00CA17C2"/>
    <w:rsid w:val="00CB7789"/>
    <w:rsid w:val="00CC2D34"/>
    <w:rsid w:val="00CC7D8A"/>
    <w:rsid w:val="00CD65F7"/>
    <w:rsid w:val="00CE0802"/>
    <w:rsid w:val="00CE5271"/>
    <w:rsid w:val="00CF4004"/>
    <w:rsid w:val="00D040D1"/>
    <w:rsid w:val="00D22C07"/>
    <w:rsid w:val="00D32DB9"/>
    <w:rsid w:val="00D34FE9"/>
    <w:rsid w:val="00D442D5"/>
    <w:rsid w:val="00D47036"/>
    <w:rsid w:val="00D523B6"/>
    <w:rsid w:val="00D726BC"/>
    <w:rsid w:val="00D83532"/>
    <w:rsid w:val="00DB5C1F"/>
    <w:rsid w:val="00DC0FDD"/>
    <w:rsid w:val="00DD7D91"/>
    <w:rsid w:val="00E00553"/>
    <w:rsid w:val="00E02B67"/>
    <w:rsid w:val="00E0598C"/>
    <w:rsid w:val="00E150C6"/>
    <w:rsid w:val="00E21EED"/>
    <w:rsid w:val="00E232A8"/>
    <w:rsid w:val="00E52AA7"/>
    <w:rsid w:val="00E6163D"/>
    <w:rsid w:val="00E62487"/>
    <w:rsid w:val="00E746E2"/>
    <w:rsid w:val="00E97D41"/>
    <w:rsid w:val="00EA64F9"/>
    <w:rsid w:val="00EB2358"/>
    <w:rsid w:val="00EB4C43"/>
    <w:rsid w:val="00ED1C6A"/>
    <w:rsid w:val="00EE0B63"/>
    <w:rsid w:val="00EE4B15"/>
    <w:rsid w:val="00F155E7"/>
    <w:rsid w:val="00F159E2"/>
    <w:rsid w:val="00F17725"/>
    <w:rsid w:val="00F26ECB"/>
    <w:rsid w:val="00F2736D"/>
    <w:rsid w:val="00F34054"/>
    <w:rsid w:val="00F446DA"/>
    <w:rsid w:val="00F547B6"/>
    <w:rsid w:val="00F55D1F"/>
    <w:rsid w:val="00F664D5"/>
    <w:rsid w:val="00F74B12"/>
    <w:rsid w:val="00F86A1E"/>
    <w:rsid w:val="00F90D8E"/>
    <w:rsid w:val="00F92919"/>
    <w:rsid w:val="00FE5EF7"/>
    <w:rsid w:val="00FE714C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3D2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D2928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7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6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3D2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D2928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7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6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at@mrrb.government.bg" TargetMode="External"/><Relationship Id="rId13" Type="http://schemas.openxmlformats.org/officeDocument/2006/relationships/hyperlink" Target="mailto:signali@api.bg" TargetMode="External"/><Relationship Id="rId3" Type="http://schemas.openxmlformats.org/officeDocument/2006/relationships/styles" Target="styles.xml"/><Relationship Id="rId7" Type="http://schemas.openxmlformats.org/officeDocument/2006/relationships/hyperlink" Target="mailto:anticorr@mrrb.government.bg" TargetMode="External"/><Relationship Id="rId12" Type="http://schemas.openxmlformats.org/officeDocument/2006/relationships/hyperlink" Target="mailto:ideneva@mrrb.government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ilkovski@mrrb.government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ruption@dnsk.bg" TargetMode="External"/><Relationship Id="rId10" Type="http://schemas.openxmlformats.org/officeDocument/2006/relationships/hyperlink" Target="mailto:mkrasteva@mrrb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regio.eu/izpalnenie-na-dogovori/signali-za-nerednosti.aspx" TargetMode="External"/><Relationship Id="rId14" Type="http://schemas.openxmlformats.org/officeDocument/2006/relationships/hyperlink" Target="mailto:acad@cadastr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2E0D-92BE-4EE0-9D31-92BB8E71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6926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Rudarova</dc:creator>
  <cp:lastModifiedBy>Mina Rudarova</cp:lastModifiedBy>
  <cp:revision>51</cp:revision>
  <cp:lastPrinted>2018-03-02T13:40:00Z</cp:lastPrinted>
  <dcterms:created xsi:type="dcterms:W3CDTF">2018-12-14T14:37:00Z</dcterms:created>
  <dcterms:modified xsi:type="dcterms:W3CDTF">2019-01-31T12:18:00Z</dcterms:modified>
</cp:coreProperties>
</file>